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7BB" w:rsidRPr="00FA7006" w:rsidRDefault="008B67BB" w:rsidP="008B67BB">
      <w:pPr>
        <w:jc w:val="center"/>
        <w:rPr>
          <w:rFonts w:ascii="Arial" w:hAnsi="Arial" w:cs="Arial"/>
          <w:b/>
          <w:sz w:val="40"/>
          <w:szCs w:val="40"/>
        </w:rPr>
      </w:pPr>
      <w:r w:rsidRPr="00FA7006">
        <w:rPr>
          <w:rFonts w:ascii="Arial" w:hAnsi="Arial" w:cs="Arial"/>
          <w:b/>
          <w:sz w:val="40"/>
          <w:szCs w:val="40"/>
        </w:rPr>
        <w:t>Outcome Agreement</w:t>
      </w:r>
    </w:p>
    <w:p w:rsidR="008B67BB" w:rsidRDefault="008B67BB" w:rsidP="008B67BB">
      <w:pPr>
        <w:jc w:val="center"/>
        <w:rPr>
          <w:rFonts w:ascii="Arial" w:hAnsi="Arial" w:cs="Arial"/>
          <w:b/>
          <w:sz w:val="28"/>
          <w:szCs w:val="28"/>
        </w:rPr>
      </w:pPr>
    </w:p>
    <w:p w:rsidR="008B67BB" w:rsidRDefault="008B67BB" w:rsidP="008B67BB">
      <w:pPr>
        <w:jc w:val="center"/>
        <w:rPr>
          <w:rFonts w:ascii="Arial" w:hAnsi="Arial" w:cs="Arial"/>
          <w:b/>
          <w:sz w:val="28"/>
          <w:szCs w:val="28"/>
        </w:rPr>
      </w:pPr>
    </w:p>
    <w:p w:rsidR="008B67BB" w:rsidRDefault="008B67BB" w:rsidP="008B67BB">
      <w:pPr>
        <w:jc w:val="center"/>
        <w:rPr>
          <w:rFonts w:ascii="Arial" w:hAnsi="Arial" w:cs="Arial"/>
          <w:b/>
          <w:sz w:val="28"/>
          <w:szCs w:val="28"/>
        </w:rPr>
      </w:pPr>
      <w:r>
        <w:rPr>
          <w:rFonts w:ascii="Arial" w:hAnsi="Arial" w:cs="Arial"/>
          <w:b/>
          <w:sz w:val="28"/>
          <w:szCs w:val="28"/>
        </w:rPr>
        <w:t>Ministry of Social Development</w:t>
      </w:r>
    </w:p>
    <w:p w:rsidR="008B67BB" w:rsidRDefault="008B67BB" w:rsidP="008B67BB">
      <w:pPr>
        <w:jc w:val="center"/>
        <w:rPr>
          <w:rFonts w:ascii="Arial" w:hAnsi="Arial" w:cs="Arial"/>
          <w:b/>
          <w:sz w:val="28"/>
          <w:szCs w:val="28"/>
        </w:rPr>
      </w:pPr>
    </w:p>
    <w:p w:rsidR="008B67BB" w:rsidRDefault="008B67BB" w:rsidP="008B67BB">
      <w:pPr>
        <w:jc w:val="center"/>
        <w:rPr>
          <w:rFonts w:ascii="Arial" w:hAnsi="Arial" w:cs="Arial"/>
          <w:b/>
          <w:sz w:val="28"/>
          <w:szCs w:val="28"/>
        </w:rPr>
      </w:pPr>
    </w:p>
    <w:p w:rsidR="008B67BB" w:rsidRDefault="008B67BB" w:rsidP="008B67BB">
      <w:pPr>
        <w:jc w:val="center"/>
        <w:rPr>
          <w:rFonts w:ascii="Arial" w:hAnsi="Arial" w:cs="Arial"/>
          <w:b/>
          <w:sz w:val="28"/>
          <w:szCs w:val="28"/>
        </w:rPr>
      </w:pPr>
      <w:r>
        <w:rPr>
          <w:rFonts w:ascii="Arial" w:hAnsi="Arial" w:cs="Arial"/>
          <w:b/>
          <w:sz w:val="28"/>
          <w:szCs w:val="28"/>
        </w:rPr>
        <w:t>(Provider Name)</w:t>
      </w:r>
    </w:p>
    <w:p w:rsidR="008B67BB" w:rsidRDefault="008B67BB" w:rsidP="008B67BB">
      <w:pPr>
        <w:jc w:val="center"/>
        <w:rPr>
          <w:rFonts w:ascii="Arial" w:hAnsi="Arial" w:cs="Arial"/>
          <w:b/>
          <w:sz w:val="28"/>
          <w:szCs w:val="28"/>
        </w:rPr>
      </w:pPr>
    </w:p>
    <w:p w:rsidR="008B67BB" w:rsidRPr="00B72116" w:rsidRDefault="008B67BB" w:rsidP="008B67BB">
      <w:pPr>
        <w:rPr>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52"/>
      </w:tblGrid>
      <w:tr w:rsidR="008B67BB" w:rsidRPr="0025673D" w:rsidTr="00D71A22">
        <w:tc>
          <w:tcPr>
            <w:tcW w:w="3936" w:type="dxa"/>
            <w:shd w:val="clear" w:color="auto" w:fill="auto"/>
          </w:tcPr>
          <w:p w:rsidR="008B67BB" w:rsidRPr="0053096C" w:rsidRDefault="008B67BB" w:rsidP="00D71A22">
            <w:pPr>
              <w:rPr>
                <w:rFonts w:ascii="Arial" w:hAnsi="Arial" w:cs="Arial"/>
                <w:b/>
                <w:lang w:eastAsia="en-GB"/>
              </w:rPr>
            </w:pPr>
            <w:r w:rsidRPr="0053096C">
              <w:rPr>
                <w:rFonts w:ascii="Arial" w:hAnsi="Arial" w:cs="Arial"/>
                <w:b/>
                <w:lang w:eastAsia="en-GB"/>
              </w:rPr>
              <w:t>Contract Name</w:t>
            </w:r>
          </w:p>
        </w:tc>
        <w:tc>
          <w:tcPr>
            <w:tcW w:w="5306" w:type="dxa"/>
            <w:shd w:val="clear" w:color="auto" w:fill="auto"/>
          </w:tcPr>
          <w:p w:rsidR="008B67BB" w:rsidRPr="0025673D" w:rsidRDefault="00F538D9" w:rsidP="00D71A22">
            <w:pPr>
              <w:rPr>
                <w:b/>
                <w:lang w:eastAsia="en-GB"/>
              </w:rPr>
            </w:pPr>
            <w:r>
              <w:rPr>
                <w:b/>
                <w:lang w:eastAsia="en-GB"/>
              </w:rPr>
              <w:t>Income Relate</w:t>
            </w:r>
            <w:r w:rsidR="00591F14">
              <w:rPr>
                <w:b/>
                <w:lang w:eastAsia="en-GB"/>
              </w:rPr>
              <w:t>d</w:t>
            </w:r>
            <w:r>
              <w:rPr>
                <w:b/>
                <w:lang w:eastAsia="en-GB"/>
              </w:rPr>
              <w:t xml:space="preserve"> Rent Subsidy Tenancy (IRRS)</w:t>
            </w:r>
          </w:p>
        </w:tc>
      </w:tr>
      <w:tr w:rsidR="008B67BB" w:rsidRPr="0025673D" w:rsidTr="00D71A22">
        <w:tc>
          <w:tcPr>
            <w:tcW w:w="3936" w:type="dxa"/>
            <w:shd w:val="clear" w:color="auto" w:fill="auto"/>
          </w:tcPr>
          <w:p w:rsidR="008B67BB" w:rsidRPr="0053096C" w:rsidRDefault="008B67BB" w:rsidP="00D71A22">
            <w:pPr>
              <w:rPr>
                <w:rFonts w:ascii="Arial" w:hAnsi="Arial" w:cs="Arial"/>
                <w:b/>
                <w:lang w:eastAsia="en-GB"/>
              </w:rPr>
            </w:pPr>
            <w:r w:rsidRPr="0053096C">
              <w:rPr>
                <w:rFonts w:ascii="Arial" w:hAnsi="Arial" w:cs="Arial"/>
                <w:b/>
                <w:lang w:eastAsia="en-GB"/>
              </w:rPr>
              <w:t>Contract Number</w:t>
            </w:r>
          </w:p>
        </w:tc>
        <w:tc>
          <w:tcPr>
            <w:tcW w:w="5306" w:type="dxa"/>
            <w:shd w:val="clear" w:color="auto" w:fill="auto"/>
          </w:tcPr>
          <w:p w:rsidR="008B67BB" w:rsidRPr="0025673D" w:rsidRDefault="00F538D9" w:rsidP="00D71A22">
            <w:pPr>
              <w:rPr>
                <w:b/>
                <w:lang w:eastAsia="en-GB"/>
              </w:rPr>
            </w:pPr>
            <w:r>
              <w:rPr>
                <w:b/>
                <w:lang w:eastAsia="en-GB"/>
              </w:rPr>
              <w:t>XXXX</w:t>
            </w:r>
          </w:p>
        </w:tc>
      </w:tr>
      <w:tr w:rsidR="008B67BB" w:rsidRPr="0025673D" w:rsidTr="00D71A22">
        <w:tc>
          <w:tcPr>
            <w:tcW w:w="3936" w:type="dxa"/>
            <w:shd w:val="clear" w:color="auto" w:fill="auto"/>
          </w:tcPr>
          <w:p w:rsidR="008B67BB" w:rsidRPr="0053096C" w:rsidRDefault="008B67BB" w:rsidP="00D71A22">
            <w:pPr>
              <w:rPr>
                <w:rFonts w:ascii="Arial" w:hAnsi="Arial" w:cs="Arial"/>
                <w:b/>
                <w:lang w:eastAsia="en-GB"/>
              </w:rPr>
            </w:pPr>
            <w:r w:rsidRPr="0053096C">
              <w:rPr>
                <w:rFonts w:ascii="Arial" w:hAnsi="Arial" w:cs="Arial"/>
                <w:b/>
                <w:lang w:eastAsia="en-GB"/>
              </w:rPr>
              <w:t>Commencement Date</w:t>
            </w:r>
          </w:p>
        </w:tc>
        <w:tc>
          <w:tcPr>
            <w:tcW w:w="5306" w:type="dxa"/>
            <w:shd w:val="clear" w:color="auto" w:fill="auto"/>
          </w:tcPr>
          <w:p w:rsidR="008B67BB" w:rsidRPr="0025673D" w:rsidRDefault="00D71A22" w:rsidP="00D71A22">
            <w:pPr>
              <w:rPr>
                <w:b/>
                <w:lang w:eastAsia="en-GB"/>
              </w:rPr>
            </w:pPr>
            <w:r>
              <w:rPr>
                <w:b/>
                <w:lang w:eastAsia="en-GB"/>
              </w:rPr>
              <w:t>14 April</w:t>
            </w:r>
            <w:r w:rsidR="008B67BB">
              <w:rPr>
                <w:b/>
                <w:lang w:eastAsia="en-GB"/>
              </w:rPr>
              <w:t xml:space="preserve"> 2014</w:t>
            </w:r>
          </w:p>
        </w:tc>
      </w:tr>
    </w:tbl>
    <w:p w:rsidR="00B5357A" w:rsidRDefault="00B5357A" w:rsidP="00B5357A"/>
    <w:p w:rsidR="008B67BB" w:rsidRDefault="008B67BB" w:rsidP="00B5357A"/>
    <w:p w:rsidR="008B67BB" w:rsidRDefault="008B67BB" w:rsidP="00B5357A"/>
    <w:p w:rsidR="008B67BB" w:rsidRDefault="008B67BB" w:rsidP="00B5357A"/>
    <w:p w:rsidR="008B67BB" w:rsidRDefault="008B67BB" w:rsidP="00B5357A"/>
    <w:p w:rsidR="008B67BB" w:rsidRDefault="008B67BB" w:rsidP="00B5357A"/>
    <w:p w:rsidR="008B67BB" w:rsidRDefault="008B67BB" w:rsidP="00B5357A"/>
    <w:p w:rsidR="008B67BB" w:rsidRDefault="008B67BB" w:rsidP="00B5357A"/>
    <w:p w:rsidR="008B67BB" w:rsidRDefault="008B67BB" w:rsidP="00B5357A"/>
    <w:p w:rsidR="00D71A22" w:rsidRDefault="00D71A22">
      <w:pPr>
        <w:rPr>
          <w:rFonts w:ascii="Arial" w:hAnsi="Arial" w:cs="Arial"/>
          <w:b/>
          <w:sz w:val="28"/>
          <w:szCs w:val="28"/>
          <w:u w:val="single"/>
        </w:rPr>
      </w:pPr>
      <w:r>
        <w:rPr>
          <w:rFonts w:ascii="Arial" w:hAnsi="Arial" w:cs="Arial"/>
          <w:b/>
          <w:sz w:val="28"/>
          <w:szCs w:val="28"/>
          <w:u w:val="single"/>
        </w:rPr>
        <w:br w:type="page"/>
      </w:r>
    </w:p>
    <w:p w:rsidR="008B67BB" w:rsidRPr="009E3708" w:rsidRDefault="008B67BB" w:rsidP="008B67BB">
      <w:pPr>
        <w:jc w:val="center"/>
        <w:rPr>
          <w:rFonts w:ascii="Arial" w:hAnsi="Arial" w:cs="Arial"/>
          <w:b/>
          <w:sz w:val="28"/>
          <w:szCs w:val="28"/>
        </w:rPr>
      </w:pPr>
      <w:r w:rsidRPr="009E3708">
        <w:rPr>
          <w:rFonts w:ascii="Arial" w:hAnsi="Arial" w:cs="Arial"/>
          <w:b/>
          <w:sz w:val="28"/>
          <w:szCs w:val="28"/>
          <w:u w:val="single"/>
        </w:rPr>
        <w:lastRenderedPageBreak/>
        <w:t>TABLE OF CONTENTS</w:t>
      </w:r>
    </w:p>
    <w:p w:rsidR="008B67BB" w:rsidRDefault="008B67BB" w:rsidP="008B67BB">
      <w:pPr>
        <w:jc w:val="center"/>
        <w:rPr>
          <w:rFonts w:ascii="Arial" w:hAnsi="Arial"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7"/>
        <w:gridCol w:w="3089"/>
      </w:tblGrid>
      <w:tr w:rsidR="008B67BB" w:rsidRPr="00C4013F" w:rsidTr="00D71A22">
        <w:tc>
          <w:tcPr>
            <w:tcW w:w="6062" w:type="dxa"/>
            <w:shd w:val="clear" w:color="auto" w:fill="auto"/>
          </w:tcPr>
          <w:p w:rsidR="008B67BB" w:rsidRPr="009E3708" w:rsidRDefault="008B67BB" w:rsidP="00D71A22">
            <w:pPr>
              <w:rPr>
                <w:rFonts w:ascii="Arial" w:hAnsi="Arial" w:cs="Arial"/>
                <w:sz w:val="24"/>
                <w:szCs w:val="24"/>
              </w:rPr>
            </w:pPr>
            <w:r w:rsidRPr="009E3708">
              <w:rPr>
                <w:rFonts w:ascii="Arial" w:hAnsi="Arial" w:cs="Arial"/>
                <w:sz w:val="24"/>
                <w:szCs w:val="24"/>
              </w:rPr>
              <w:t>Summary of Services</w:t>
            </w:r>
          </w:p>
        </w:tc>
        <w:tc>
          <w:tcPr>
            <w:tcW w:w="3180" w:type="dxa"/>
            <w:shd w:val="clear" w:color="auto" w:fill="auto"/>
          </w:tcPr>
          <w:p w:rsidR="008B67BB" w:rsidRPr="00C4013F" w:rsidRDefault="008B67BB" w:rsidP="00D71A22">
            <w:pPr>
              <w:jc w:val="center"/>
              <w:rPr>
                <w:rFonts w:ascii="Arial" w:hAnsi="Arial" w:cs="Arial"/>
                <w:b/>
                <w:sz w:val="28"/>
                <w:szCs w:val="28"/>
                <w:u w:val="single"/>
              </w:rPr>
            </w:pPr>
          </w:p>
        </w:tc>
      </w:tr>
      <w:tr w:rsidR="008B67BB" w:rsidRPr="00C4013F" w:rsidTr="00D71A22">
        <w:tc>
          <w:tcPr>
            <w:tcW w:w="6062" w:type="dxa"/>
            <w:shd w:val="clear" w:color="auto" w:fill="auto"/>
          </w:tcPr>
          <w:p w:rsidR="008B67BB" w:rsidRPr="009E3708" w:rsidRDefault="008B67BB" w:rsidP="00D71A22">
            <w:pPr>
              <w:rPr>
                <w:rFonts w:ascii="Arial" w:hAnsi="Arial" w:cs="Arial"/>
                <w:sz w:val="24"/>
                <w:szCs w:val="24"/>
              </w:rPr>
            </w:pPr>
            <w:r w:rsidRPr="009E3708">
              <w:rPr>
                <w:rFonts w:ascii="Arial" w:hAnsi="Arial" w:cs="Arial"/>
                <w:sz w:val="24"/>
                <w:szCs w:val="24"/>
              </w:rPr>
              <w:t>Introduction and Parties</w:t>
            </w:r>
          </w:p>
        </w:tc>
        <w:tc>
          <w:tcPr>
            <w:tcW w:w="3180" w:type="dxa"/>
            <w:shd w:val="clear" w:color="auto" w:fill="auto"/>
          </w:tcPr>
          <w:p w:rsidR="008B67BB" w:rsidRPr="00C4013F" w:rsidRDefault="008B67BB" w:rsidP="00D71A22">
            <w:pPr>
              <w:jc w:val="center"/>
              <w:rPr>
                <w:rFonts w:ascii="Arial" w:hAnsi="Arial" w:cs="Arial"/>
                <w:b/>
                <w:sz w:val="28"/>
                <w:szCs w:val="28"/>
                <w:u w:val="single"/>
              </w:rPr>
            </w:pPr>
          </w:p>
        </w:tc>
      </w:tr>
      <w:tr w:rsidR="008B67BB" w:rsidRPr="00C4013F" w:rsidTr="00D71A22">
        <w:tc>
          <w:tcPr>
            <w:tcW w:w="6062" w:type="dxa"/>
            <w:shd w:val="clear" w:color="auto" w:fill="auto"/>
          </w:tcPr>
          <w:p w:rsidR="008B67BB" w:rsidRPr="009E3708" w:rsidRDefault="008B67BB" w:rsidP="00D71A22">
            <w:pPr>
              <w:rPr>
                <w:rFonts w:ascii="Arial" w:hAnsi="Arial" w:cs="Arial"/>
                <w:sz w:val="24"/>
                <w:szCs w:val="24"/>
              </w:rPr>
            </w:pPr>
            <w:r w:rsidRPr="009E3708">
              <w:rPr>
                <w:rFonts w:ascii="Arial" w:hAnsi="Arial" w:cs="Arial"/>
                <w:sz w:val="24"/>
                <w:szCs w:val="24"/>
              </w:rPr>
              <w:t>Appendix 1 – Services and Outcomes</w:t>
            </w:r>
          </w:p>
          <w:p w:rsidR="008B67BB" w:rsidRPr="009E3708" w:rsidRDefault="008B67BB" w:rsidP="00F538D9">
            <w:pPr>
              <w:rPr>
                <w:rFonts w:ascii="Arial" w:hAnsi="Arial" w:cs="Arial"/>
                <w:sz w:val="24"/>
                <w:szCs w:val="24"/>
              </w:rPr>
            </w:pPr>
            <w:r w:rsidRPr="009E3708">
              <w:rPr>
                <w:rFonts w:ascii="Arial" w:hAnsi="Arial" w:cs="Arial"/>
                <w:sz w:val="24"/>
                <w:szCs w:val="24"/>
              </w:rPr>
              <w:t xml:space="preserve">Table 1 A – </w:t>
            </w:r>
            <w:r w:rsidR="00F538D9">
              <w:rPr>
                <w:rFonts w:ascii="Arial" w:hAnsi="Arial" w:cs="Arial"/>
                <w:sz w:val="24"/>
                <w:szCs w:val="24"/>
              </w:rPr>
              <w:t>IRRS</w:t>
            </w:r>
          </w:p>
        </w:tc>
        <w:tc>
          <w:tcPr>
            <w:tcW w:w="3180" w:type="dxa"/>
            <w:shd w:val="clear" w:color="auto" w:fill="auto"/>
          </w:tcPr>
          <w:p w:rsidR="008B67BB" w:rsidRPr="009E3708" w:rsidRDefault="008B67BB" w:rsidP="00D71A22">
            <w:pPr>
              <w:rPr>
                <w:rFonts w:ascii="Arial" w:hAnsi="Arial" w:cs="Arial"/>
                <w:sz w:val="28"/>
                <w:szCs w:val="28"/>
              </w:rPr>
            </w:pPr>
          </w:p>
        </w:tc>
      </w:tr>
      <w:tr w:rsidR="008B67BB" w:rsidRPr="00C4013F" w:rsidTr="00D71A22">
        <w:tc>
          <w:tcPr>
            <w:tcW w:w="6062" w:type="dxa"/>
            <w:shd w:val="clear" w:color="auto" w:fill="auto"/>
          </w:tcPr>
          <w:p w:rsidR="008B67BB" w:rsidRPr="009E3708" w:rsidRDefault="008B67BB" w:rsidP="00D71A22">
            <w:pPr>
              <w:rPr>
                <w:rFonts w:ascii="Arial" w:hAnsi="Arial" w:cs="Arial"/>
                <w:sz w:val="24"/>
                <w:szCs w:val="24"/>
              </w:rPr>
            </w:pPr>
            <w:r w:rsidRPr="009E3708">
              <w:rPr>
                <w:rFonts w:ascii="Arial" w:hAnsi="Arial" w:cs="Arial"/>
                <w:sz w:val="24"/>
                <w:szCs w:val="24"/>
              </w:rPr>
              <w:t>Appendix 2 – Monitoring by the Purchasing Agency</w:t>
            </w:r>
          </w:p>
        </w:tc>
        <w:tc>
          <w:tcPr>
            <w:tcW w:w="3180" w:type="dxa"/>
            <w:shd w:val="clear" w:color="auto" w:fill="auto"/>
          </w:tcPr>
          <w:p w:rsidR="008B67BB" w:rsidRPr="009E3708" w:rsidRDefault="008B67BB" w:rsidP="00D71A22">
            <w:pPr>
              <w:rPr>
                <w:rFonts w:ascii="Arial" w:hAnsi="Arial" w:cs="Arial"/>
                <w:sz w:val="28"/>
                <w:szCs w:val="28"/>
              </w:rPr>
            </w:pPr>
          </w:p>
        </w:tc>
      </w:tr>
      <w:tr w:rsidR="008B67BB" w:rsidRPr="00C4013F" w:rsidTr="00D71A22">
        <w:tc>
          <w:tcPr>
            <w:tcW w:w="6062" w:type="dxa"/>
            <w:shd w:val="clear" w:color="auto" w:fill="auto"/>
          </w:tcPr>
          <w:p w:rsidR="008B67BB" w:rsidRPr="009E3708" w:rsidRDefault="008B67BB" w:rsidP="00D71A22">
            <w:pPr>
              <w:rPr>
                <w:rFonts w:ascii="Arial" w:hAnsi="Arial" w:cs="Arial"/>
                <w:sz w:val="24"/>
                <w:szCs w:val="24"/>
              </w:rPr>
            </w:pPr>
            <w:r w:rsidRPr="009E3708">
              <w:rPr>
                <w:rFonts w:ascii="Arial" w:hAnsi="Arial" w:cs="Arial"/>
                <w:sz w:val="24"/>
                <w:szCs w:val="24"/>
              </w:rPr>
              <w:t>Appendix 3 – Regular Reporting by the Provider</w:t>
            </w:r>
          </w:p>
        </w:tc>
        <w:tc>
          <w:tcPr>
            <w:tcW w:w="3180" w:type="dxa"/>
            <w:shd w:val="clear" w:color="auto" w:fill="auto"/>
          </w:tcPr>
          <w:p w:rsidR="008B67BB" w:rsidRPr="009E3708" w:rsidRDefault="008B67BB" w:rsidP="00D71A22">
            <w:pPr>
              <w:rPr>
                <w:rFonts w:ascii="Arial" w:hAnsi="Arial" w:cs="Arial"/>
                <w:sz w:val="28"/>
                <w:szCs w:val="28"/>
              </w:rPr>
            </w:pPr>
          </w:p>
        </w:tc>
      </w:tr>
      <w:tr w:rsidR="008B67BB" w:rsidRPr="00C4013F" w:rsidTr="00D71A22">
        <w:tc>
          <w:tcPr>
            <w:tcW w:w="6062" w:type="dxa"/>
            <w:shd w:val="clear" w:color="auto" w:fill="auto"/>
          </w:tcPr>
          <w:p w:rsidR="008B67BB" w:rsidRPr="009E3708" w:rsidRDefault="008B67BB" w:rsidP="00D71A22">
            <w:pPr>
              <w:rPr>
                <w:rFonts w:ascii="Arial" w:hAnsi="Arial" w:cs="Arial"/>
                <w:sz w:val="24"/>
                <w:szCs w:val="24"/>
              </w:rPr>
            </w:pPr>
            <w:r w:rsidRPr="009E3708">
              <w:rPr>
                <w:rFonts w:ascii="Arial" w:hAnsi="Arial" w:cs="Arial"/>
                <w:sz w:val="24"/>
                <w:szCs w:val="24"/>
              </w:rPr>
              <w:t>Appendix 4 – Regular Audits of the Provider</w:t>
            </w:r>
          </w:p>
        </w:tc>
        <w:tc>
          <w:tcPr>
            <w:tcW w:w="3180" w:type="dxa"/>
            <w:shd w:val="clear" w:color="auto" w:fill="auto"/>
          </w:tcPr>
          <w:p w:rsidR="008B67BB" w:rsidRPr="009E3708" w:rsidRDefault="008B67BB" w:rsidP="00D71A22">
            <w:pPr>
              <w:rPr>
                <w:rFonts w:ascii="Arial" w:hAnsi="Arial" w:cs="Arial"/>
                <w:sz w:val="28"/>
                <w:szCs w:val="28"/>
              </w:rPr>
            </w:pPr>
          </w:p>
        </w:tc>
      </w:tr>
      <w:tr w:rsidR="008B67BB" w:rsidRPr="00C4013F" w:rsidTr="00D71A22">
        <w:tc>
          <w:tcPr>
            <w:tcW w:w="6062" w:type="dxa"/>
            <w:shd w:val="clear" w:color="auto" w:fill="auto"/>
          </w:tcPr>
          <w:p w:rsidR="008B67BB" w:rsidRPr="009E3708" w:rsidRDefault="008B67BB" w:rsidP="00D71A22">
            <w:pPr>
              <w:rPr>
                <w:rFonts w:ascii="Arial" w:hAnsi="Arial" w:cs="Arial"/>
                <w:sz w:val="24"/>
                <w:szCs w:val="24"/>
              </w:rPr>
            </w:pPr>
            <w:r w:rsidRPr="009E3708">
              <w:rPr>
                <w:rFonts w:ascii="Arial" w:hAnsi="Arial" w:cs="Arial"/>
                <w:sz w:val="24"/>
                <w:szCs w:val="24"/>
              </w:rPr>
              <w:t>Appendix 5 –Payments for Services</w:t>
            </w:r>
          </w:p>
          <w:p w:rsidR="00F538D9" w:rsidRDefault="00131385" w:rsidP="00D71A22">
            <w:pPr>
              <w:rPr>
                <w:rFonts w:ascii="Arial" w:hAnsi="Arial" w:cs="Arial"/>
                <w:sz w:val="24"/>
                <w:szCs w:val="24"/>
              </w:rPr>
            </w:pPr>
            <w:r>
              <w:rPr>
                <w:rFonts w:ascii="Arial" w:hAnsi="Arial" w:cs="Arial"/>
                <w:sz w:val="24"/>
                <w:szCs w:val="24"/>
              </w:rPr>
              <w:t>Table 5A</w:t>
            </w:r>
            <w:r w:rsidR="00F538D9" w:rsidRPr="009E3708">
              <w:rPr>
                <w:rFonts w:ascii="Arial" w:hAnsi="Arial" w:cs="Arial"/>
                <w:sz w:val="24"/>
                <w:szCs w:val="24"/>
              </w:rPr>
              <w:t xml:space="preserve"> – Scheduled Payments</w:t>
            </w:r>
            <w:r w:rsidR="00F538D9">
              <w:rPr>
                <w:rFonts w:ascii="Arial" w:hAnsi="Arial" w:cs="Arial"/>
                <w:sz w:val="24"/>
                <w:szCs w:val="24"/>
              </w:rPr>
              <w:t xml:space="preserve"> (N/A)</w:t>
            </w:r>
          </w:p>
          <w:p w:rsidR="00F538D9" w:rsidRPr="009E3708" w:rsidRDefault="00131385" w:rsidP="00D71A22">
            <w:pPr>
              <w:rPr>
                <w:rFonts w:ascii="Arial" w:hAnsi="Arial" w:cs="Arial"/>
                <w:sz w:val="24"/>
                <w:szCs w:val="24"/>
              </w:rPr>
            </w:pPr>
            <w:r>
              <w:rPr>
                <w:rFonts w:ascii="Arial" w:hAnsi="Arial" w:cs="Arial"/>
                <w:sz w:val="24"/>
                <w:szCs w:val="24"/>
              </w:rPr>
              <w:t>Table 5B</w:t>
            </w:r>
            <w:r w:rsidR="00F538D9" w:rsidRPr="009E3708">
              <w:rPr>
                <w:rFonts w:ascii="Arial" w:hAnsi="Arial" w:cs="Arial"/>
                <w:sz w:val="24"/>
                <w:szCs w:val="24"/>
              </w:rPr>
              <w:t xml:space="preserve"> – </w:t>
            </w:r>
            <w:r w:rsidR="00F538D9">
              <w:rPr>
                <w:rFonts w:ascii="Arial" w:hAnsi="Arial" w:cs="Arial"/>
                <w:sz w:val="24"/>
                <w:szCs w:val="24"/>
              </w:rPr>
              <w:t>Uns</w:t>
            </w:r>
            <w:r w:rsidR="00F538D9" w:rsidRPr="009E3708">
              <w:rPr>
                <w:rFonts w:ascii="Arial" w:hAnsi="Arial" w:cs="Arial"/>
                <w:sz w:val="24"/>
                <w:szCs w:val="24"/>
              </w:rPr>
              <w:t>cheduled Payments</w:t>
            </w:r>
          </w:p>
        </w:tc>
        <w:tc>
          <w:tcPr>
            <w:tcW w:w="3180" w:type="dxa"/>
            <w:shd w:val="clear" w:color="auto" w:fill="auto"/>
          </w:tcPr>
          <w:p w:rsidR="008B67BB" w:rsidRPr="009E3708" w:rsidRDefault="008B67BB" w:rsidP="00D71A22">
            <w:pPr>
              <w:rPr>
                <w:rFonts w:ascii="Arial" w:hAnsi="Arial" w:cs="Arial"/>
                <w:sz w:val="28"/>
                <w:szCs w:val="28"/>
              </w:rPr>
            </w:pPr>
          </w:p>
        </w:tc>
      </w:tr>
      <w:tr w:rsidR="008B67BB" w:rsidRPr="00C4013F" w:rsidTr="00F538D9">
        <w:trPr>
          <w:trHeight w:val="617"/>
        </w:trPr>
        <w:tc>
          <w:tcPr>
            <w:tcW w:w="6062" w:type="dxa"/>
            <w:shd w:val="clear" w:color="auto" w:fill="auto"/>
          </w:tcPr>
          <w:p w:rsidR="008B67BB" w:rsidRPr="009E3708" w:rsidRDefault="008B67BB" w:rsidP="00D71A22">
            <w:pPr>
              <w:rPr>
                <w:rFonts w:ascii="Arial" w:hAnsi="Arial" w:cs="Arial"/>
                <w:sz w:val="24"/>
                <w:szCs w:val="24"/>
              </w:rPr>
            </w:pPr>
            <w:r w:rsidRPr="009E3708">
              <w:rPr>
                <w:rFonts w:ascii="Arial" w:hAnsi="Arial" w:cs="Arial"/>
                <w:sz w:val="24"/>
                <w:szCs w:val="24"/>
              </w:rPr>
              <w:t>Appendix 6 – Conditions the Provider is responsible for</w:t>
            </w:r>
          </w:p>
        </w:tc>
        <w:tc>
          <w:tcPr>
            <w:tcW w:w="3180" w:type="dxa"/>
            <w:shd w:val="clear" w:color="auto" w:fill="auto"/>
          </w:tcPr>
          <w:p w:rsidR="008B67BB" w:rsidRPr="00A06646" w:rsidRDefault="008B67BB" w:rsidP="00D71A22">
            <w:pPr>
              <w:rPr>
                <w:rFonts w:ascii="Arial" w:hAnsi="Arial" w:cs="Arial"/>
                <w:sz w:val="28"/>
                <w:szCs w:val="28"/>
              </w:rPr>
            </w:pPr>
          </w:p>
        </w:tc>
      </w:tr>
      <w:tr w:rsidR="008B67BB" w:rsidRPr="00C4013F" w:rsidTr="00D71A22">
        <w:tc>
          <w:tcPr>
            <w:tcW w:w="6062" w:type="dxa"/>
            <w:shd w:val="clear" w:color="auto" w:fill="auto"/>
          </w:tcPr>
          <w:p w:rsidR="008B67BB" w:rsidRPr="009E3708" w:rsidRDefault="008B67BB" w:rsidP="00D71A22">
            <w:pPr>
              <w:rPr>
                <w:rFonts w:ascii="Arial" w:hAnsi="Arial" w:cs="Arial"/>
                <w:sz w:val="24"/>
                <w:szCs w:val="24"/>
              </w:rPr>
            </w:pPr>
            <w:r w:rsidRPr="009E3708">
              <w:rPr>
                <w:rFonts w:ascii="Arial" w:hAnsi="Arial" w:cs="Arial"/>
                <w:sz w:val="24"/>
                <w:szCs w:val="24"/>
              </w:rPr>
              <w:t>Appendix 7 - Conditions the Purchasing Agency is responsible for</w:t>
            </w:r>
          </w:p>
        </w:tc>
        <w:tc>
          <w:tcPr>
            <w:tcW w:w="3180" w:type="dxa"/>
            <w:shd w:val="clear" w:color="auto" w:fill="auto"/>
          </w:tcPr>
          <w:p w:rsidR="008B67BB" w:rsidRPr="00A06646" w:rsidRDefault="008B67BB" w:rsidP="00D71A22">
            <w:pPr>
              <w:rPr>
                <w:rFonts w:ascii="Arial" w:hAnsi="Arial" w:cs="Arial"/>
                <w:sz w:val="28"/>
                <w:szCs w:val="28"/>
              </w:rPr>
            </w:pPr>
          </w:p>
        </w:tc>
      </w:tr>
      <w:tr w:rsidR="008B67BB" w:rsidRPr="00C4013F" w:rsidTr="00D71A22">
        <w:tc>
          <w:tcPr>
            <w:tcW w:w="6062" w:type="dxa"/>
            <w:shd w:val="clear" w:color="auto" w:fill="auto"/>
          </w:tcPr>
          <w:p w:rsidR="008B67BB" w:rsidRPr="009E3708" w:rsidRDefault="008B67BB" w:rsidP="00D71A22">
            <w:pPr>
              <w:rPr>
                <w:rFonts w:ascii="Arial" w:hAnsi="Arial" w:cs="Arial"/>
                <w:sz w:val="24"/>
                <w:szCs w:val="24"/>
              </w:rPr>
            </w:pPr>
            <w:r w:rsidRPr="009E3708">
              <w:rPr>
                <w:rFonts w:ascii="Arial" w:hAnsi="Arial" w:cs="Arial"/>
                <w:sz w:val="24"/>
                <w:szCs w:val="24"/>
              </w:rPr>
              <w:t xml:space="preserve">Appendix </w:t>
            </w:r>
            <w:r w:rsidR="000374BE">
              <w:rPr>
                <w:rFonts w:ascii="Arial" w:hAnsi="Arial" w:cs="Arial"/>
                <w:sz w:val="24"/>
                <w:szCs w:val="24"/>
              </w:rPr>
              <w:t>8</w:t>
            </w:r>
            <w:r w:rsidRPr="009E3708">
              <w:rPr>
                <w:rFonts w:ascii="Arial" w:hAnsi="Arial" w:cs="Arial"/>
                <w:sz w:val="24"/>
                <w:szCs w:val="24"/>
              </w:rPr>
              <w:t xml:space="preserve"> – Permitted information disclosure</w:t>
            </w:r>
          </w:p>
        </w:tc>
        <w:tc>
          <w:tcPr>
            <w:tcW w:w="3180" w:type="dxa"/>
            <w:shd w:val="clear" w:color="auto" w:fill="auto"/>
          </w:tcPr>
          <w:p w:rsidR="008B67BB" w:rsidRPr="00A06646" w:rsidRDefault="008B67BB" w:rsidP="00D71A22">
            <w:pPr>
              <w:rPr>
                <w:rFonts w:ascii="Arial" w:hAnsi="Arial" w:cs="Arial"/>
                <w:sz w:val="28"/>
                <w:szCs w:val="28"/>
              </w:rPr>
            </w:pPr>
          </w:p>
        </w:tc>
      </w:tr>
      <w:tr w:rsidR="008B67BB" w:rsidRPr="00C4013F" w:rsidTr="00D71A22">
        <w:tc>
          <w:tcPr>
            <w:tcW w:w="6062" w:type="dxa"/>
            <w:shd w:val="clear" w:color="auto" w:fill="auto"/>
          </w:tcPr>
          <w:p w:rsidR="008B67BB" w:rsidRPr="009E3708" w:rsidRDefault="008B67BB" w:rsidP="000374BE">
            <w:pPr>
              <w:rPr>
                <w:rFonts w:ascii="Arial" w:hAnsi="Arial" w:cs="Arial"/>
                <w:sz w:val="24"/>
                <w:szCs w:val="24"/>
              </w:rPr>
            </w:pPr>
            <w:r w:rsidRPr="009E3708">
              <w:rPr>
                <w:rFonts w:ascii="Arial" w:hAnsi="Arial" w:cs="Arial"/>
                <w:sz w:val="24"/>
                <w:szCs w:val="24"/>
              </w:rPr>
              <w:t xml:space="preserve">Appendix </w:t>
            </w:r>
            <w:r w:rsidR="005E6776">
              <w:rPr>
                <w:rFonts w:ascii="Arial" w:hAnsi="Arial" w:cs="Arial"/>
                <w:sz w:val="24"/>
                <w:szCs w:val="24"/>
              </w:rPr>
              <w:t>9</w:t>
            </w:r>
            <w:r w:rsidRPr="009E3708">
              <w:rPr>
                <w:rFonts w:ascii="Arial" w:hAnsi="Arial" w:cs="Arial"/>
                <w:sz w:val="24"/>
                <w:szCs w:val="24"/>
              </w:rPr>
              <w:t xml:space="preserve"> – Special terms</w:t>
            </w:r>
          </w:p>
        </w:tc>
        <w:tc>
          <w:tcPr>
            <w:tcW w:w="3180" w:type="dxa"/>
            <w:shd w:val="clear" w:color="auto" w:fill="auto"/>
          </w:tcPr>
          <w:p w:rsidR="008B67BB" w:rsidRPr="00A06646" w:rsidRDefault="008B67BB" w:rsidP="00D71A22">
            <w:pPr>
              <w:rPr>
                <w:rFonts w:ascii="Arial" w:hAnsi="Arial" w:cs="Arial"/>
                <w:sz w:val="28"/>
                <w:szCs w:val="28"/>
              </w:rPr>
            </w:pPr>
          </w:p>
        </w:tc>
      </w:tr>
      <w:tr w:rsidR="008B67BB" w:rsidRPr="00C4013F" w:rsidTr="00D71A22">
        <w:tc>
          <w:tcPr>
            <w:tcW w:w="6062" w:type="dxa"/>
            <w:shd w:val="clear" w:color="auto" w:fill="auto"/>
          </w:tcPr>
          <w:p w:rsidR="008B67BB" w:rsidRPr="009E3708" w:rsidRDefault="008B67BB" w:rsidP="000374BE">
            <w:pPr>
              <w:rPr>
                <w:rFonts w:ascii="Arial" w:hAnsi="Arial" w:cs="Arial"/>
                <w:sz w:val="24"/>
                <w:szCs w:val="24"/>
              </w:rPr>
            </w:pPr>
            <w:r w:rsidRPr="009E3708">
              <w:rPr>
                <w:rFonts w:ascii="Arial" w:hAnsi="Arial" w:cs="Arial"/>
                <w:sz w:val="24"/>
                <w:szCs w:val="24"/>
              </w:rPr>
              <w:t>Appendix 1</w:t>
            </w:r>
            <w:r w:rsidR="005E6776">
              <w:rPr>
                <w:rFonts w:ascii="Arial" w:hAnsi="Arial" w:cs="Arial"/>
                <w:sz w:val="24"/>
                <w:szCs w:val="24"/>
              </w:rPr>
              <w:t>0</w:t>
            </w:r>
            <w:r w:rsidRPr="009E3708">
              <w:rPr>
                <w:rFonts w:ascii="Arial" w:hAnsi="Arial" w:cs="Arial"/>
                <w:sz w:val="24"/>
                <w:szCs w:val="24"/>
              </w:rPr>
              <w:t xml:space="preserve"> – Practice Guidelines, Service Guidelines and Services Specifications </w:t>
            </w:r>
          </w:p>
        </w:tc>
        <w:tc>
          <w:tcPr>
            <w:tcW w:w="3180" w:type="dxa"/>
            <w:shd w:val="clear" w:color="auto" w:fill="auto"/>
          </w:tcPr>
          <w:p w:rsidR="008B67BB" w:rsidRPr="00A06646" w:rsidRDefault="008B67BB" w:rsidP="00D71A22">
            <w:pPr>
              <w:rPr>
                <w:rFonts w:ascii="Arial" w:hAnsi="Arial" w:cs="Arial"/>
                <w:sz w:val="28"/>
                <w:szCs w:val="28"/>
              </w:rPr>
            </w:pPr>
          </w:p>
        </w:tc>
      </w:tr>
      <w:tr w:rsidR="008B67BB" w:rsidRPr="00C4013F" w:rsidTr="00F538D9">
        <w:trPr>
          <w:trHeight w:val="655"/>
        </w:trPr>
        <w:tc>
          <w:tcPr>
            <w:tcW w:w="6062" w:type="dxa"/>
            <w:shd w:val="clear" w:color="auto" w:fill="auto"/>
          </w:tcPr>
          <w:p w:rsidR="008B67BB" w:rsidRPr="009E3708" w:rsidRDefault="008B67BB" w:rsidP="00F538D9">
            <w:pPr>
              <w:spacing w:after="0"/>
              <w:rPr>
                <w:rFonts w:ascii="Arial" w:hAnsi="Arial" w:cs="Arial"/>
                <w:sz w:val="24"/>
                <w:szCs w:val="24"/>
              </w:rPr>
            </w:pPr>
            <w:r w:rsidRPr="009E3708">
              <w:rPr>
                <w:rFonts w:ascii="Arial" w:hAnsi="Arial" w:cs="Arial"/>
                <w:sz w:val="24"/>
                <w:szCs w:val="24"/>
              </w:rPr>
              <w:t>Appendix 1</w:t>
            </w:r>
            <w:r w:rsidR="005E6776">
              <w:rPr>
                <w:rFonts w:ascii="Arial" w:hAnsi="Arial" w:cs="Arial"/>
                <w:sz w:val="24"/>
                <w:szCs w:val="24"/>
              </w:rPr>
              <w:t>1</w:t>
            </w:r>
            <w:r w:rsidRPr="009E3708">
              <w:rPr>
                <w:rFonts w:ascii="Arial" w:hAnsi="Arial" w:cs="Arial"/>
                <w:sz w:val="24"/>
                <w:szCs w:val="24"/>
              </w:rPr>
              <w:t xml:space="preserve"> – Reporting Templates</w:t>
            </w:r>
          </w:p>
          <w:p w:rsidR="008B67BB" w:rsidRPr="009E3708" w:rsidRDefault="008B67BB" w:rsidP="00F538D9">
            <w:pPr>
              <w:spacing w:after="0"/>
              <w:rPr>
                <w:rFonts w:ascii="Arial" w:hAnsi="Arial" w:cs="Arial"/>
                <w:sz w:val="24"/>
                <w:szCs w:val="24"/>
              </w:rPr>
            </w:pPr>
          </w:p>
        </w:tc>
        <w:tc>
          <w:tcPr>
            <w:tcW w:w="3180" w:type="dxa"/>
            <w:shd w:val="clear" w:color="auto" w:fill="auto"/>
          </w:tcPr>
          <w:p w:rsidR="008B67BB" w:rsidRPr="00A06646" w:rsidRDefault="008B67BB" w:rsidP="00F538D9">
            <w:pPr>
              <w:spacing w:after="0"/>
              <w:rPr>
                <w:rFonts w:ascii="Arial" w:hAnsi="Arial" w:cs="Arial"/>
                <w:sz w:val="28"/>
                <w:szCs w:val="28"/>
              </w:rPr>
            </w:pPr>
          </w:p>
        </w:tc>
      </w:tr>
    </w:tbl>
    <w:p w:rsidR="008B67BB" w:rsidRDefault="008B67BB" w:rsidP="00F538D9">
      <w:pPr>
        <w:spacing w:after="0"/>
      </w:pPr>
    </w:p>
    <w:p w:rsidR="008B67BB" w:rsidRDefault="008B67BB">
      <w:r>
        <w:br w:type="page"/>
      </w:r>
    </w:p>
    <w:p w:rsidR="008B67BB" w:rsidRDefault="008B67BB" w:rsidP="00B5357A">
      <w:pPr>
        <w:sectPr w:rsidR="008B67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8B67BB" w:rsidRPr="009E3708" w:rsidRDefault="008B67BB" w:rsidP="008B67BB">
      <w:pPr>
        <w:jc w:val="center"/>
        <w:rPr>
          <w:rFonts w:ascii="Arial" w:hAnsi="Arial" w:cs="Arial"/>
          <w:b/>
          <w:sz w:val="16"/>
          <w:szCs w:val="16"/>
          <w:u w:val="single"/>
        </w:rPr>
      </w:pPr>
      <w:r w:rsidRPr="009E3708">
        <w:rPr>
          <w:rFonts w:ascii="Arial" w:hAnsi="Arial" w:cs="Arial"/>
          <w:b/>
          <w:sz w:val="16"/>
          <w:szCs w:val="16"/>
          <w:u w:val="single"/>
        </w:rPr>
        <w:lastRenderedPageBreak/>
        <w:t>Summary of Services</w:t>
      </w:r>
    </w:p>
    <w:tbl>
      <w:tblPr>
        <w:tblW w:w="12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551"/>
        <w:gridCol w:w="1832"/>
        <w:gridCol w:w="1669"/>
        <w:gridCol w:w="1627"/>
        <w:gridCol w:w="1702"/>
        <w:gridCol w:w="1747"/>
      </w:tblGrid>
      <w:tr w:rsidR="00BD3BB2" w:rsidRPr="009E3708" w:rsidTr="004D660D">
        <w:trPr>
          <w:tblHeader/>
        </w:trPr>
        <w:tc>
          <w:tcPr>
            <w:tcW w:w="1526" w:type="dxa"/>
            <w:shd w:val="clear" w:color="auto" w:fill="auto"/>
          </w:tcPr>
          <w:p w:rsidR="00BD3BB2" w:rsidRPr="009E3708" w:rsidRDefault="00BD3BB2" w:rsidP="00D71A22">
            <w:pPr>
              <w:spacing w:after="0"/>
              <w:jc w:val="center"/>
              <w:rPr>
                <w:rFonts w:ascii="Arial" w:hAnsi="Arial" w:cs="Arial"/>
                <w:b/>
                <w:sz w:val="16"/>
                <w:szCs w:val="16"/>
              </w:rPr>
            </w:pPr>
            <w:r w:rsidRPr="009E3708">
              <w:rPr>
                <w:rFonts w:ascii="Arial" w:hAnsi="Arial" w:cs="Arial"/>
                <w:b/>
                <w:sz w:val="16"/>
                <w:szCs w:val="16"/>
              </w:rPr>
              <w:t>Agreement /Reference Number</w:t>
            </w:r>
          </w:p>
        </w:tc>
        <w:tc>
          <w:tcPr>
            <w:tcW w:w="2551" w:type="dxa"/>
            <w:shd w:val="clear" w:color="auto" w:fill="auto"/>
          </w:tcPr>
          <w:p w:rsidR="00BD3BB2" w:rsidRPr="009E3708" w:rsidRDefault="00BD3BB2" w:rsidP="00D71A22">
            <w:pPr>
              <w:spacing w:after="0"/>
              <w:jc w:val="center"/>
              <w:rPr>
                <w:rFonts w:ascii="Arial" w:hAnsi="Arial" w:cs="Arial"/>
                <w:b/>
                <w:sz w:val="16"/>
                <w:szCs w:val="16"/>
              </w:rPr>
            </w:pPr>
            <w:r w:rsidRPr="009E3708">
              <w:rPr>
                <w:rFonts w:ascii="Arial" w:hAnsi="Arial" w:cs="Arial"/>
                <w:b/>
                <w:sz w:val="16"/>
                <w:szCs w:val="16"/>
              </w:rPr>
              <w:t>Service Description</w:t>
            </w:r>
          </w:p>
        </w:tc>
        <w:tc>
          <w:tcPr>
            <w:tcW w:w="1832" w:type="dxa"/>
            <w:shd w:val="clear" w:color="auto" w:fill="auto"/>
          </w:tcPr>
          <w:p w:rsidR="00BD3BB2" w:rsidRPr="009E3708" w:rsidRDefault="00BD3BB2" w:rsidP="00D71A22">
            <w:pPr>
              <w:spacing w:after="0"/>
              <w:jc w:val="center"/>
              <w:rPr>
                <w:rFonts w:ascii="Arial" w:hAnsi="Arial" w:cs="Arial"/>
                <w:b/>
                <w:sz w:val="16"/>
                <w:szCs w:val="16"/>
              </w:rPr>
            </w:pPr>
            <w:r w:rsidRPr="009E3708">
              <w:rPr>
                <w:rFonts w:ascii="Arial" w:hAnsi="Arial" w:cs="Arial"/>
                <w:b/>
                <w:sz w:val="16"/>
                <w:szCs w:val="16"/>
              </w:rPr>
              <w:t>Start Date</w:t>
            </w:r>
          </w:p>
        </w:tc>
        <w:tc>
          <w:tcPr>
            <w:tcW w:w="1669" w:type="dxa"/>
            <w:shd w:val="clear" w:color="auto" w:fill="auto"/>
          </w:tcPr>
          <w:p w:rsidR="00BD3BB2" w:rsidRPr="009E3708" w:rsidRDefault="00BD3BB2" w:rsidP="00D71A22">
            <w:pPr>
              <w:spacing w:after="0"/>
              <w:jc w:val="center"/>
              <w:rPr>
                <w:rFonts w:ascii="Arial" w:hAnsi="Arial" w:cs="Arial"/>
                <w:b/>
                <w:sz w:val="16"/>
                <w:szCs w:val="16"/>
              </w:rPr>
            </w:pPr>
            <w:r w:rsidRPr="009E3708">
              <w:rPr>
                <w:rFonts w:ascii="Arial" w:hAnsi="Arial" w:cs="Arial"/>
                <w:b/>
                <w:sz w:val="16"/>
                <w:szCs w:val="16"/>
              </w:rPr>
              <w:t>Service Location</w:t>
            </w:r>
          </w:p>
        </w:tc>
        <w:tc>
          <w:tcPr>
            <w:tcW w:w="1627" w:type="dxa"/>
            <w:shd w:val="clear" w:color="auto" w:fill="auto"/>
          </w:tcPr>
          <w:p w:rsidR="00BD3BB2" w:rsidRPr="009E3708" w:rsidRDefault="00BD3BB2" w:rsidP="00D71A22">
            <w:pPr>
              <w:spacing w:after="0"/>
              <w:jc w:val="center"/>
              <w:rPr>
                <w:rFonts w:ascii="Arial" w:hAnsi="Arial" w:cs="Arial"/>
                <w:b/>
                <w:sz w:val="16"/>
                <w:szCs w:val="16"/>
              </w:rPr>
            </w:pPr>
            <w:r w:rsidRPr="009E3708">
              <w:rPr>
                <w:rFonts w:ascii="Arial" w:hAnsi="Arial" w:cs="Arial"/>
                <w:b/>
                <w:sz w:val="16"/>
                <w:szCs w:val="16"/>
              </w:rPr>
              <w:t>Volume (at any one time)</w:t>
            </w:r>
          </w:p>
        </w:tc>
        <w:tc>
          <w:tcPr>
            <w:tcW w:w="1702" w:type="dxa"/>
            <w:shd w:val="clear" w:color="auto" w:fill="auto"/>
          </w:tcPr>
          <w:p w:rsidR="00BD3BB2" w:rsidRPr="009E3708" w:rsidRDefault="00BD3BB2" w:rsidP="00D71A22">
            <w:pPr>
              <w:spacing w:after="0"/>
              <w:jc w:val="center"/>
              <w:rPr>
                <w:rFonts w:ascii="Arial" w:hAnsi="Arial" w:cs="Arial"/>
                <w:b/>
                <w:sz w:val="16"/>
                <w:szCs w:val="16"/>
              </w:rPr>
            </w:pPr>
            <w:r w:rsidRPr="009E3708">
              <w:rPr>
                <w:rFonts w:ascii="Arial" w:hAnsi="Arial" w:cs="Arial"/>
                <w:b/>
                <w:sz w:val="16"/>
                <w:szCs w:val="16"/>
              </w:rPr>
              <w:t>Maximum Volume</w:t>
            </w:r>
          </w:p>
        </w:tc>
        <w:tc>
          <w:tcPr>
            <w:tcW w:w="1747" w:type="dxa"/>
            <w:shd w:val="clear" w:color="auto" w:fill="auto"/>
          </w:tcPr>
          <w:p w:rsidR="00BD3BB2" w:rsidRPr="009E3708" w:rsidRDefault="00BD3BB2" w:rsidP="00D71A22">
            <w:pPr>
              <w:spacing w:after="0"/>
              <w:jc w:val="center"/>
              <w:rPr>
                <w:rFonts w:ascii="Arial" w:hAnsi="Arial" w:cs="Arial"/>
                <w:b/>
                <w:sz w:val="16"/>
                <w:szCs w:val="16"/>
              </w:rPr>
            </w:pPr>
            <w:r w:rsidRPr="009E3708">
              <w:rPr>
                <w:rFonts w:ascii="Arial" w:hAnsi="Arial" w:cs="Arial"/>
                <w:b/>
                <w:sz w:val="16"/>
                <w:szCs w:val="16"/>
              </w:rPr>
              <w:t>Agreement Value</w:t>
            </w:r>
          </w:p>
        </w:tc>
      </w:tr>
      <w:tr w:rsidR="00BD3BB2" w:rsidRPr="009E3708" w:rsidTr="004D660D">
        <w:tc>
          <w:tcPr>
            <w:tcW w:w="1526" w:type="dxa"/>
            <w:shd w:val="clear" w:color="auto" w:fill="auto"/>
          </w:tcPr>
          <w:p w:rsidR="00BD3BB2" w:rsidRPr="009E3708" w:rsidRDefault="00BD3BB2" w:rsidP="00D71A22">
            <w:pPr>
              <w:spacing w:before="60" w:after="60"/>
              <w:rPr>
                <w:rFonts w:ascii="Arial" w:hAnsi="Arial" w:cs="Arial"/>
                <w:sz w:val="16"/>
                <w:szCs w:val="16"/>
              </w:rPr>
            </w:pPr>
            <w:r>
              <w:rPr>
                <w:rFonts w:ascii="Arial" w:hAnsi="Arial" w:cs="Arial"/>
                <w:sz w:val="16"/>
                <w:szCs w:val="16"/>
              </w:rPr>
              <w:t>XXXX</w:t>
            </w:r>
          </w:p>
        </w:tc>
        <w:tc>
          <w:tcPr>
            <w:tcW w:w="2551" w:type="dxa"/>
            <w:shd w:val="clear" w:color="auto" w:fill="auto"/>
          </w:tcPr>
          <w:p w:rsidR="00BD3BB2" w:rsidRPr="009E3708" w:rsidRDefault="00BD3BB2" w:rsidP="00D71A22">
            <w:pPr>
              <w:spacing w:before="60" w:after="60"/>
              <w:rPr>
                <w:rFonts w:ascii="Arial" w:hAnsi="Arial" w:cs="Arial"/>
                <w:sz w:val="16"/>
                <w:szCs w:val="16"/>
              </w:rPr>
            </w:pPr>
            <w:r>
              <w:rPr>
                <w:rFonts w:ascii="Arial" w:hAnsi="Arial" w:cs="Arial"/>
                <w:sz w:val="16"/>
                <w:szCs w:val="16"/>
              </w:rPr>
              <w:t>Income Related Rent Subsidy Tenancy Services</w:t>
            </w: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r>
              <w:rPr>
                <w:rFonts w:ascii="Arial" w:hAnsi="Arial" w:cs="Arial"/>
                <w:sz w:val="16"/>
                <w:szCs w:val="16"/>
              </w:rPr>
              <w:t>14 April 2014</w:t>
            </w: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r>
              <w:rPr>
                <w:rFonts w:ascii="Arial" w:hAnsi="Arial" w:cs="Arial"/>
                <w:sz w:val="16"/>
                <w:szCs w:val="16"/>
              </w:rPr>
              <w:t>TBC</w:t>
            </w: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r>
              <w:rPr>
                <w:rFonts w:ascii="Arial" w:hAnsi="Arial" w:cs="Arial"/>
                <w:sz w:val="16"/>
                <w:szCs w:val="16"/>
              </w:rPr>
              <w:t>N/A</w:t>
            </w: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r>
              <w:rPr>
                <w:rFonts w:ascii="Arial" w:hAnsi="Arial" w:cs="Arial"/>
                <w:sz w:val="16"/>
                <w:szCs w:val="16"/>
              </w:rPr>
              <w:t>N/A</w:t>
            </w: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r>
              <w:rPr>
                <w:rFonts w:ascii="Arial" w:hAnsi="Arial" w:cs="Arial"/>
                <w:sz w:val="16"/>
                <w:szCs w:val="16"/>
              </w:rPr>
              <w:t>N/A</w:t>
            </w: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tcPr>
          <w:p w:rsidR="00BD3BB2" w:rsidRPr="009E3708" w:rsidRDefault="00BD3BB2" w:rsidP="00D71A22">
            <w:pPr>
              <w:spacing w:before="60" w:after="60"/>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r w:rsidR="00BD3BB2" w:rsidRPr="009E3708" w:rsidTr="004D660D">
        <w:tc>
          <w:tcPr>
            <w:tcW w:w="1526" w:type="dxa"/>
            <w:shd w:val="clear" w:color="auto" w:fill="auto"/>
          </w:tcPr>
          <w:p w:rsidR="00BD3BB2" w:rsidRPr="009E3708" w:rsidRDefault="00BD3BB2" w:rsidP="00D71A22">
            <w:pPr>
              <w:spacing w:before="60" w:after="60"/>
              <w:jc w:val="center"/>
              <w:rPr>
                <w:rFonts w:ascii="Arial" w:hAnsi="Arial" w:cs="Arial"/>
                <w:sz w:val="16"/>
                <w:szCs w:val="16"/>
              </w:rPr>
            </w:pPr>
          </w:p>
        </w:tc>
        <w:tc>
          <w:tcPr>
            <w:tcW w:w="2551" w:type="dxa"/>
            <w:shd w:val="clear" w:color="auto" w:fill="auto"/>
            <w:vAlign w:val="center"/>
          </w:tcPr>
          <w:p w:rsidR="00BD3BB2" w:rsidRPr="009E3708" w:rsidRDefault="00BD3BB2" w:rsidP="00D71A22">
            <w:pPr>
              <w:spacing w:before="60" w:after="60"/>
              <w:jc w:val="both"/>
              <w:rPr>
                <w:rFonts w:ascii="Arial" w:hAnsi="Arial" w:cs="Arial"/>
                <w:sz w:val="16"/>
                <w:szCs w:val="16"/>
              </w:rPr>
            </w:pPr>
          </w:p>
        </w:tc>
        <w:tc>
          <w:tcPr>
            <w:tcW w:w="1832" w:type="dxa"/>
            <w:shd w:val="clear" w:color="auto" w:fill="auto"/>
          </w:tcPr>
          <w:p w:rsidR="00BD3BB2" w:rsidRPr="009E3708" w:rsidRDefault="00BD3BB2" w:rsidP="00D71A22">
            <w:pPr>
              <w:spacing w:before="60" w:after="60"/>
              <w:jc w:val="center"/>
              <w:rPr>
                <w:rFonts w:ascii="Arial" w:hAnsi="Arial" w:cs="Arial"/>
                <w:sz w:val="16"/>
                <w:szCs w:val="16"/>
              </w:rPr>
            </w:pPr>
          </w:p>
        </w:tc>
        <w:tc>
          <w:tcPr>
            <w:tcW w:w="1669" w:type="dxa"/>
            <w:shd w:val="clear" w:color="auto" w:fill="auto"/>
          </w:tcPr>
          <w:p w:rsidR="00BD3BB2" w:rsidRPr="009E3708" w:rsidRDefault="00BD3BB2" w:rsidP="00D71A22">
            <w:pPr>
              <w:spacing w:before="60" w:after="60"/>
              <w:jc w:val="center"/>
              <w:rPr>
                <w:rFonts w:ascii="Arial" w:hAnsi="Arial" w:cs="Arial"/>
                <w:sz w:val="16"/>
                <w:szCs w:val="16"/>
              </w:rPr>
            </w:pPr>
          </w:p>
        </w:tc>
        <w:tc>
          <w:tcPr>
            <w:tcW w:w="1627" w:type="dxa"/>
            <w:shd w:val="clear" w:color="auto" w:fill="auto"/>
          </w:tcPr>
          <w:p w:rsidR="00BD3BB2" w:rsidRPr="009E3708" w:rsidRDefault="00BD3BB2" w:rsidP="00D71A22">
            <w:pPr>
              <w:spacing w:before="60" w:after="60"/>
              <w:jc w:val="center"/>
              <w:rPr>
                <w:rFonts w:ascii="Arial" w:hAnsi="Arial" w:cs="Arial"/>
                <w:sz w:val="16"/>
                <w:szCs w:val="16"/>
              </w:rPr>
            </w:pPr>
          </w:p>
        </w:tc>
        <w:tc>
          <w:tcPr>
            <w:tcW w:w="1702" w:type="dxa"/>
            <w:shd w:val="clear" w:color="auto" w:fill="auto"/>
          </w:tcPr>
          <w:p w:rsidR="00BD3BB2" w:rsidRPr="009E3708" w:rsidRDefault="00BD3BB2" w:rsidP="00D71A22">
            <w:pPr>
              <w:spacing w:before="60" w:after="60"/>
              <w:jc w:val="center"/>
              <w:rPr>
                <w:rFonts w:ascii="Arial" w:hAnsi="Arial" w:cs="Arial"/>
                <w:sz w:val="16"/>
                <w:szCs w:val="16"/>
              </w:rPr>
            </w:pPr>
          </w:p>
        </w:tc>
        <w:tc>
          <w:tcPr>
            <w:tcW w:w="1747" w:type="dxa"/>
            <w:shd w:val="clear" w:color="auto" w:fill="auto"/>
          </w:tcPr>
          <w:p w:rsidR="00BD3BB2" w:rsidRPr="009E3708" w:rsidRDefault="00BD3BB2" w:rsidP="00D71A22">
            <w:pPr>
              <w:spacing w:before="60" w:after="60"/>
              <w:jc w:val="right"/>
              <w:rPr>
                <w:rFonts w:ascii="Arial" w:hAnsi="Arial" w:cs="Arial"/>
                <w:sz w:val="16"/>
                <w:szCs w:val="16"/>
              </w:rPr>
            </w:pPr>
          </w:p>
        </w:tc>
      </w:tr>
    </w:tbl>
    <w:p w:rsidR="008B67BB" w:rsidRDefault="008B67BB" w:rsidP="00B5357A"/>
    <w:p w:rsidR="008B67BB" w:rsidRDefault="008B67BB">
      <w:r>
        <w:br w:type="page"/>
      </w:r>
    </w:p>
    <w:p w:rsidR="008B67BB" w:rsidRDefault="008B67BB" w:rsidP="00B5357A">
      <w:pPr>
        <w:sectPr w:rsidR="008B67BB" w:rsidSect="008B67BB">
          <w:pgSz w:w="16838" w:h="11906" w:orient="landscape"/>
          <w:pgMar w:top="1440" w:right="1440" w:bottom="1440" w:left="1440" w:header="709" w:footer="709" w:gutter="0"/>
          <w:cols w:space="708"/>
          <w:docGrid w:linePitch="360"/>
        </w:sectPr>
      </w:pPr>
    </w:p>
    <w:p w:rsidR="008B67BB" w:rsidRPr="00D30C5B" w:rsidRDefault="008B67BB" w:rsidP="008B67BB">
      <w:pPr>
        <w:jc w:val="center"/>
        <w:rPr>
          <w:rFonts w:ascii="Arial" w:hAnsi="Arial" w:cs="Arial"/>
          <w:b/>
          <w:sz w:val="28"/>
          <w:szCs w:val="28"/>
        </w:rPr>
      </w:pPr>
      <w:r>
        <w:rPr>
          <w:rFonts w:ascii="Arial" w:hAnsi="Arial" w:cs="Arial"/>
          <w:b/>
          <w:sz w:val="28"/>
          <w:szCs w:val="28"/>
        </w:rPr>
        <w:lastRenderedPageBreak/>
        <w:t>Outcome Agreement</w:t>
      </w:r>
      <w:r w:rsidRPr="00D30C5B">
        <w:rPr>
          <w:rFonts w:ascii="Arial" w:hAnsi="Arial" w:cs="Arial"/>
          <w:b/>
          <w:sz w:val="28"/>
          <w:szCs w:val="28"/>
        </w:rPr>
        <w:t xml:space="preserve"> </w:t>
      </w:r>
    </w:p>
    <w:p w:rsidR="008B67BB" w:rsidRPr="00D30C5B" w:rsidRDefault="008B67BB" w:rsidP="008B67BB">
      <w:pPr>
        <w:rPr>
          <w:rFonts w:ascii="Arial" w:hAnsi="Arial" w:cs="Arial"/>
          <w:b/>
        </w:rPr>
      </w:pPr>
      <w:r w:rsidRPr="00D30C5B">
        <w:rPr>
          <w:rFonts w:ascii="Arial" w:hAnsi="Arial" w:cs="Arial"/>
          <w:b/>
        </w:rPr>
        <w:t>Parties</w:t>
      </w:r>
    </w:p>
    <w:p w:rsidR="008B67BB" w:rsidRDefault="008B67BB" w:rsidP="008B67BB">
      <w:pPr>
        <w:rPr>
          <w:rFonts w:ascii="Arial" w:hAnsi="Arial" w:cs="Arial"/>
        </w:rPr>
      </w:pPr>
      <w:r>
        <w:rPr>
          <w:rFonts w:ascii="Arial" w:hAnsi="Arial" w:cs="Arial"/>
        </w:rPr>
        <w:t>Her Majesty the Queen in the right of New Zealand acting by and through the Chief Executive of the Ministry of Social Development (</w:t>
      </w:r>
      <w:r>
        <w:rPr>
          <w:rFonts w:ascii="Arial" w:hAnsi="Arial" w:cs="Arial"/>
          <w:b/>
        </w:rPr>
        <w:t>Purchasing Agency</w:t>
      </w:r>
      <w:r>
        <w:rPr>
          <w:rFonts w:ascii="Arial" w:hAnsi="Arial" w:cs="Arial"/>
        </w:rPr>
        <w:t>)</w:t>
      </w:r>
    </w:p>
    <w:p w:rsidR="008B67BB" w:rsidRDefault="008B67BB" w:rsidP="008B67BB">
      <w:pPr>
        <w:rPr>
          <w:rFonts w:ascii="Arial" w:hAnsi="Arial" w:cs="Arial"/>
        </w:rPr>
      </w:pPr>
      <w:r w:rsidRPr="009E3708">
        <w:rPr>
          <w:rFonts w:ascii="Arial" w:hAnsi="Arial" w:cs="Arial"/>
          <w:highlight w:val="yellow"/>
        </w:rPr>
        <w:t>Provider Name,</w:t>
      </w:r>
      <w:r>
        <w:rPr>
          <w:rFonts w:ascii="Arial" w:hAnsi="Arial" w:cs="Arial"/>
        </w:rPr>
        <w:t xml:space="preserve"> </w:t>
      </w:r>
      <w:r w:rsidRPr="00050D8E">
        <w:rPr>
          <w:rFonts w:ascii="Arial" w:hAnsi="Arial" w:cs="Arial"/>
        </w:rPr>
        <w:t xml:space="preserve">incorporated under the </w:t>
      </w:r>
      <w:r w:rsidRPr="009E3708">
        <w:rPr>
          <w:rFonts w:ascii="Arial" w:hAnsi="Arial" w:cs="Arial"/>
          <w:highlight w:val="yellow"/>
        </w:rPr>
        <w:t>Registration details</w:t>
      </w:r>
      <w:r w:rsidRPr="00050D8E">
        <w:rPr>
          <w:rFonts w:ascii="Arial" w:hAnsi="Arial" w:cs="Arial"/>
        </w:rPr>
        <w:t xml:space="preserve"> and having its registered office at</w:t>
      </w:r>
      <w:r>
        <w:rPr>
          <w:rFonts w:ascii="Arial" w:hAnsi="Arial" w:cs="Arial"/>
        </w:rPr>
        <w:t xml:space="preserve"> </w:t>
      </w:r>
      <w:r w:rsidR="00B4372C">
        <w:rPr>
          <w:rFonts w:ascii="Arial" w:hAnsi="Arial" w:cs="Arial"/>
        </w:rPr>
        <w:t>XXXX</w:t>
      </w:r>
    </w:p>
    <w:p w:rsidR="008B67BB" w:rsidRPr="00E81EF9" w:rsidRDefault="008B67BB" w:rsidP="008B67BB">
      <w:pPr>
        <w:rPr>
          <w:rFonts w:ascii="Arial" w:hAnsi="Arial" w:cs="Arial"/>
          <w:b/>
        </w:rPr>
      </w:pPr>
      <w:r>
        <w:rPr>
          <w:rFonts w:ascii="Arial" w:hAnsi="Arial" w:cs="Arial"/>
          <w:b/>
        </w:rPr>
        <w:t xml:space="preserve">Introduction </w:t>
      </w:r>
    </w:p>
    <w:p w:rsidR="008B67BB" w:rsidRDefault="008B67BB" w:rsidP="008B67BB">
      <w:pPr>
        <w:numPr>
          <w:ilvl w:val="0"/>
          <w:numId w:val="11"/>
        </w:numPr>
        <w:ind w:left="567" w:hanging="567"/>
        <w:rPr>
          <w:rFonts w:ascii="Arial" w:hAnsi="Arial" w:cs="Arial"/>
        </w:rPr>
      </w:pPr>
      <w:r>
        <w:rPr>
          <w:rFonts w:ascii="Arial" w:hAnsi="Arial" w:cs="Arial"/>
        </w:rPr>
        <w:t>This Outcome Agreement forms part of the Government’s Streamlined Contracting Framework, along with a</w:t>
      </w:r>
      <w:r w:rsidRPr="00170C03">
        <w:rPr>
          <w:rFonts w:ascii="Arial" w:hAnsi="Arial" w:cs="Arial"/>
        </w:rPr>
        <w:t xml:space="preserve"> set of umbrella terms and conditions </w:t>
      </w:r>
      <w:r w:rsidRPr="000D50C9">
        <w:rPr>
          <w:rFonts w:ascii="Arial" w:hAnsi="Arial" w:cs="Arial"/>
        </w:rPr>
        <w:t>known as the “Framework Terms and Conditions”</w:t>
      </w:r>
      <w:r>
        <w:rPr>
          <w:rFonts w:ascii="Arial" w:hAnsi="Arial" w:cs="Arial"/>
        </w:rPr>
        <w:t xml:space="preserve"> that will</w:t>
      </w:r>
      <w:r w:rsidRPr="00170C03">
        <w:rPr>
          <w:rFonts w:ascii="Arial" w:hAnsi="Arial" w:cs="Arial"/>
        </w:rPr>
        <w:t xml:space="preserve"> apply to contracts between the Purchasing Agency and the Provider relating to social</w:t>
      </w:r>
      <w:r w:rsidRPr="00965543">
        <w:rPr>
          <w:rFonts w:ascii="Arial" w:hAnsi="Arial" w:cs="Arial"/>
        </w:rPr>
        <w:t xml:space="preserve">, </w:t>
      </w:r>
      <w:r w:rsidRPr="00DC5C09">
        <w:rPr>
          <w:rFonts w:ascii="Arial" w:hAnsi="Arial" w:cs="Arial"/>
        </w:rPr>
        <w:t>public health</w:t>
      </w:r>
      <w:r w:rsidRPr="00D167B5">
        <w:rPr>
          <w:rFonts w:ascii="Arial" w:hAnsi="Arial" w:cs="Arial"/>
        </w:rPr>
        <w:t>, justice and education</w:t>
      </w:r>
      <w:r w:rsidRPr="000B0A6F">
        <w:rPr>
          <w:rFonts w:ascii="Arial" w:hAnsi="Arial" w:cs="Arial"/>
        </w:rPr>
        <w:t xml:space="preserve"> services</w:t>
      </w:r>
      <w:r w:rsidRPr="000D50C9">
        <w:rPr>
          <w:rFonts w:ascii="Arial" w:hAnsi="Arial" w:cs="Arial"/>
        </w:rPr>
        <w:t xml:space="preserve">.  </w:t>
      </w:r>
      <w:r w:rsidRPr="001C20D6">
        <w:rPr>
          <w:rFonts w:ascii="Arial" w:hAnsi="Arial" w:cs="Arial"/>
        </w:rPr>
        <w:t>The</w:t>
      </w:r>
      <w:r>
        <w:rPr>
          <w:rFonts w:ascii="Arial" w:hAnsi="Arial" w:cs="Arial"/>
        </w:rPr>
        <w:t xml:space="preserve"> Framework Terms and Conditions</w:t>
      </w:r>
      <w:r w:rsidRPr="001C20D6">
        <w:rPr>
          <w:rFonts w:ascii="Arial" w:hAnsi="Arial" w:cs="Arial"/>
        </w:rPr>
        <w:t xml:space="preserve"> are post</w:t>
      </w:r>
      <w:r w:rsidRPr="00E16D85">
        <w:rPr>
          <w:rFonts w:ascii="Arial" w:hAnsi="Arial" w:cs="Arial"/>
        </w:rPr>
        <w:t xml:space="preserve">ed on </w:t>
      </w:r>
      <w:hyperlink r:id="rId14" w:history="1">
        <w:r w:rsidR="00E13C27" w:rsidRPr="00F62737">
          <w:rPr>
            <w:rStyle w:val="Hyperlink"/>
            <w:rFonts w:ascii="Arial" w:hAnsi="Arial" w:cs="Arial"/>
          </w:rPr>
          <w:t>http://www.business.govt.nz/procurement/pdf-library/functional-leadership/contracting-with-ngos/framework-terms-and-conditions-476-kb-pdf</w:t>
        </w:r>
      </w:hyperlink>
      <w:r w:rsidR="00E13C27" w:rsidRPr="00E13C27">
        <w:rPr>
          <w:rFonts w:ascii="Arial" w:hAnsi="Arial" w:cs="Arial"/>
        </w:rPr>
        <w:t xml:space="preserve"> a</w:t>
      </w:r>
      <w:r w:rsidRPr="00E13C27">
        <w:rPr>
          <w:rFonts w:ascii="Arial" w:hAnsi="Arial" w:cs="Arial"/>
        </w:rPr>
        <w:t>nd</w:t>
      </w:r>
      <w:r w:rsidRPr="00401E5B">
        <w:rPr>
          <w:rFonts w:ascii="Arial" w:hAnsi="Arial" w:cs="Arial"/>
        </w:rPr>
        <w:t xml:space="preserve"> </w:t>
      </w:r>
      <w:r w:rsidRPr="00170C03">
        <w:rPr>
          <w:rFonts w:ascii="Arial" w:hAnsi="Arial" w:cs="Arial"/>
        </w:rPr>
        <w:t xml:space="preserve">form an integral part of this Outcome Agreement.  </w:t>
      </w:r>
    </w:p>
    <w:p w:rsidR="008B67BB" w:rsidRDefault="008B67BB" w:rsidP="008B67BB">
      <w:pPr>
        <w:numPr>
          <w:ilvl w:val="0"/>
          <w:numId w:val="11"/>
        </w:numPr>
        <w:ind w:left="567" w:hanging="567"/>
        <w:rPr>
          <w:rFonts w:ascii="Arial" w:hAnsi="Arial" w:cs="Arial"/>
        </w:rPr>
      </w:pPr>
      <w:r>
        <w:rPr>
          <w:rFonts w:ascii="Arial" w:hAnsi="Arial" w:cs="Arial"/>
        </w:rPr>
        <w:t>This Outcome Agreement describes the:</w:t>
      </w:r>
    </w:p>
    <w:p w:rsidR="008B67BB" w:rsidRPr="00D313ED" w:rsidRDefault="008B67BB" w:rsidP="008B67BB">
      <w:pPr>
        <w:numPr>
          <w:ilvl w:val="0"/>
          <w:numId w:val="12"/>
        </w:numPr>
        <w:rPr>
          <w:rFonts w:ascii="Arial" w:hAnsi="Arial" w:cs="Arial"/>
        </w:rPr>
      </w:pPr>
      <w:r w:rsidRPr="00D313ED">
        <w:rPr>
          <w:rFonts w:ascii="Arial" w:hAnsi="Arial" w:cs="Arial"/>
        </w:rPr>
        <w:t xml:space="preserve">Outcome to be achieved; </w:t>
      </w:r>
    </w:p>
    <w:p w:rsidR="008B67BB" w:rsidRDefault="008B67BB" w:rsidP="008B67BB">
      <w:pPr>
        <w:numPr>
          <w:ilvl w:val="0"/>
          <w:numId w:val="12"/>
        </w:numPr>
        <w:rPr>
          <w:rFonts w:ascii="Arial" w:hAnsi="Arial" w:cs="Arial"/>
        </w:rPr>
      </w:pPr>
      <w:r>
        <w:rPr>
          <w:rFonts w:ascii="Arial" w:hAnsi="Arial" w:cs="Arial"/>
        </w:rPr>
        <w:t>Services that the Provider will provide to contribute towards achieving that Outcome; and</w:t>
      </w:r>
    </w:p>
    <w:p w:rsidR="008B67BB" w:rsidRDefault="008B67BB" w:rsidP="008B67BB">
      <w:pPr>
        <w:numPr>
          <w:ilvl w:val="0"/>
          <w:numId w:val="12"/>
        </w:numPr>
        <w:rPr>
          <w:rFonts w:ascii="Arial" w:hAnsi="Arial" w:cs="Arial"/>
        </w:rPr>
      </w:pPr>
      <w:r>
        <w:rPr>
          <w:rFonts w:ascii="Arial" w:hAnsi="Arial" w:cs="Arial"/>
        </w:rPr>
        <w:t>Performance measurement framework to assess the provision of the Services, and whether the Services have contributed towards achieving the Outcome.</w:t>
      </w:r>
    </w:p>
    <w:p w:rsidR="008B67BB" w:rsidRDefault="008B67BB" w:rsidP="008B67BB">
      <w:pPr>
        <w:numPr>
          <w:ilvl w:val="0"/>
          <w:numId w:val="11"/>
        </w:numPr>
        <w:ind w:left="567" w:hanging="567"/>
        <w:rPr>
          <w:rFonts w:ascii="Arial" w:hAnsi="Arial" w:cs="Arial"/>
        </w:rPr>
      </w:pPr>
      <w:r w:rsidRPr="00170C03">
        <w:rPr>
          <w:rFonts w:ascii="Arial" w:hAnsi="Arial" w:cs="Arial"/>
        </w:rPr>
        <w:t xml:space="preserve">The </w:t>
      </w:r>
      <w:r w:rsidRPr="0076432E">
        <w:rPr>
          <w:rFonts w:ascii="Arial" w:hAnsi="Arial" w:cs="Arial"/>
        </w:rPr>
        <w:t>s</w:t>
      </w:r>
      <w:r w:rsidRPr="00DC5C09">
        <w:rPr>
          <w:rFonts w:ascii="Arial" w:hAnsi="Arial" w:cs="Arial"/>
        </w:rPr>
        <w:t>ections in</w:t>
      </w:r>
      <w:r w:rsidRPr="00D167B5">
        <w:rPr>
          <w:rFonts w:ascii="Arial" w:hAnsi="Arial" w:cs="Arial"/>
        </w:rPr>
        <w:t xml:space="preserve"> the Framework Terms and Conditions</w:t>
      </w:r>
      <w:r w:rsidRPr="000B0A6F">
        <w:rPr>
          <w:rFonts w:ascii="Arial" w:hAnsi="Arial" w:cs="Arial"/>
        </w:rPr>
        <w:t xml:space="preserve"> headed Introdu</w:t>
      </w:r>
      <w:r w:rsidRPr="0024128D">
        <w:rPr>
          <w:rFonts w:ascii="Arial" w:hAnsi="Arial" w:cs="Arial"/>
        </w:rPr>
        <w:t>ction</w:t>
      </w:r>
      <w:r w:rsidRPr="00A32867">
        <w:rPr>
          <w:rFonts w:ascii="Arial" w:hAnsi="Arial" w:cs="Arial"/>
        </w:rPr>
        <w:t xml:space="preserve">, </w:t>
      </w:r>
      <w:r w:rsidRPr="00E16D85">
        <w:rPr>
          <w:rFonts w:ascii="Arial" w:hAnsi="Arial" w:cs="Arial"/>
        </w:rPr>
        <w:t>“</w:t>
      </w:r>
      <w:r w:rsidRPr="00401E5B">
        <w:rPr>
          <w:rFonts w:ascii="Arial" w:hAnsi="Arial" w:cs="Arial"/>
        </w:rPr>
        <w:t xml:space="preserve">Purpose </w:t>
      </w:r>
      <w:r>
        <w:rPr>
          <w:rFonts w:ascii="Arial" w:hAnsi="Arial" w:cs="Arial"/>
        </w:rPr>
        <w:t xml:space="preserve">and Context </w:t>
      </w:r>
      <w:r w:rsidRPr="00170C03">
        <w:rPr>
          <w:rFonts w:ascii="Arial" w:hAnsi="Arial" w:cs="Arial"/>
        </w:rPr>
        <w:t xml:space="preserve">Statement” and “Relationship Principles” set the </w:t>
      </w:r>
      <w:r>
        <w:rPr>
          <w:rFonts w:ascii="Arial" w:hAnsi="Arial" w:cs="Arial"/>
        </w:rPr>
        <w:t xml:space="preserve">relationship </w:t>
      </w:r>
      <w:r w:rsidRPr="00170C03">
        <w:rPr>
          <w:rFonts w:ascii="Arial" w:hAnsi="Arial" w:cs="Arial"/>
        </w:rPr>
        <w:t>background relevant to this Outcome Agreement.</w:t>
      </w:r>
    </w:p>
    <w:p w:rsidR="008B67BB" w:rsidRPr="00170C03" w:rsidRDefault="008B67BB" w:rsidP="008B67BB">
      <w:pPr>
        <w:numPr>
          <w:ilvl w:val="0"/>
          <w:numId w:val="11"/>
        </w:numPr>
        <w:ind w:left="567" w:hanging="567"/>
        <w:rPr>
          <w:rFonts w:ascii="Arial" w:hAnsi="Arial" w:cs="Arial"/>
        </w:rPr>
      </w:pPr>
      <w:r>
        <w:rPr>
          <w:rFonts w:ascii="Arial" w:hAnsi="Arial" w:cs="Arial"/>
        </w:rPr>
        <w:t>The Purchasing Agency confirms that it has signed a Government Agency Agreement with the Co-ordinating Agency.</w:t>
      </w:r>
    </w:p>
    <w:p w:rsidR="008B67BB" w:rsidRPr="00567F70" w:rsidRDefault="008B67BB" w:rsidP="008B67BB">
      <w:pPr>
        <w:rPr>
          <w:rFonts w:ascii="Arial" w:hAnsi="Arial" w:cs="Arial"/>
        </w:rPr>
      </w:pPr>
      <w:r>
        <w:rPr>
          <w:rFonts w:ascii="Arial" w:hAnsi="Arial" w:cs="Arial"/>
        </w:rPr>
        <w:t xml:space="preserve"> </w:t>
      </w:r>
      <w:r w:rsidRPr="00BA46A5">
        <w:rPr>
          <w:rFonts w:ascii="Arial" w:hAnsi="Arial" w:cs="Arial"/>
          <w:b/>
        </w:rPr>
        <w:t>Framework Terms and Conditions</w:t>
      </w:r>
      <w:r>
        <w:rPr>
          <w:rFonts w:ascii="Arial" w:hAnsi="Arial" w:cs="Arial"/>
          <w:b/>
        </w:rPr>
        <w:t xml:space="preserve"> – future differences</w:t>
      </w:r>
    </w:p>
    <w:p w:rsidR="008B67BB" w:rsidRDefault="008B67BB" w:rsidP="008B67BB">
      <w:pPr>
        <w:rPr>
          <w:rFonts w:ascii="Arial" w:hAnsi="Arial" w:cs="Arial"/>
        </w:rPr>
      </w:pPr>
      <w:r w:rsidRPr="00A16A0A">
        <w:rPr>
          <w:rFonts w:ascii="Arial" w:hAnsi="Arial" w:cs="Arial"/>
        </w:rPr>
        <w:t xml:space="preserve">If </w:t>
      </w:r>
      <w:r>
        <w:rPr>
          <w:rFonts w:ascii="Arial" w:hAnsi="Arial" w:cs="Arial"/>
        </w:rPr>
        <w:t xml:space="preserve">the Framework Terms and Conditions proposed </w:t>
      </w:r>
      <w:r w:rsidRPr="00BA46A5">
        <w:rPr>
          <w:rFonts w:ascii="Arial" w:hAnsi="Arial" w:cs="Arial"/>
        </w:rPr>
        <w:t xml:space="preserve">for </w:t>
      </w:r>
      <w:r>
        <w:rPr>
          <w:rFonts w:ascii="Arial" w:hAnsi="Arial" w:cs="Arial"/>
        </w:rPr>
        <w:t xml:space="preserve">future </w:t>
      </w:r>
      <w:r w:rsidRPr="00BA46A5">
        <w:rPr>
          <w:rFonts w:ascii="Arial" w:hAnsi="Arial" w:cs="Arial"/>
        </w:rPr>
        <w:t xml:space="preserve">general use </w:t>
      </w:r>
      <w:r>
        <w:rPr>
          <w:rFonts w:ascii="Arial" w:hAnsi="Arial" w:cs="Arial"/>
        </w:rPr>
        <w:t xml:space="preserve">are ever </w:t>
      </w:r>
      <w:r w:rsidRPr="00BA46A5">
        <w:rPr>
          <w:rFonts w:ascii="Arial" w:hAnsi="Arial" w:cs="Arial"/>
        </w:rPr>
        <w:t xml:space="preserve">different to those that apply when </w:t>
      </w:r>
      <w:r w:rsidRPr="00A16A0A">
        <w:rPr>
          <w:rFonts w:ascii="Arial" w:hAnsi="Arial" w:cs="Arial"/>
        </w:rPr>
        <w:t xml:space="preserve">this </w:t>
      </w:r>
      <w:r>
        <w:rPr>
          <w:rFonts w:ascii="Arial" w:hAnsi="Arial" w:cs="Arial"/>
        </w:rPr>
        <w:t>Outcome Agreement is entered into (</w:t>
      </w:r>
      <w:r>
        <w:rPr>
          <w:rFonts w:ascii="Arial" w:hAnsi="Arial" w:cs="Arial"/>
          <w:b/>
        </w:rPr>
        <w:t>Updated Framework Terms and Conditions)</w:t>
      </w:r>
      <w:r>
        <w:rPr>
          <w:rFonts w:ascii="Arial" w:hAnsi="Arial" w:cs="Arial"/>
        </w:rPr>
        <w:t>, the following provisions also apply (despite anything else to the contrary):</w:t>
      </w:r>
    </w:p>
    <w:p w:rsidR="008B67BB" w:rsidRDefault="008B67BB" w:rsidP="008B67BB">
      <w:pPr>
        <w:numPr>
          <w:ilvl w:val="0"/>
          <w:numId w:val="13"/>
        </w:numPr>
        <w:ind w:left="567" w:hanging="567"/>
        <w:rPr>
          <w:rFonts w:ascii="Arial" w:hAnsi="Arial" w:cs="Arial"/>
        </w:rPr>
      </w:pPr>
      <w:r>
        <w:rPr>
          <w:rFonts w:ascii="Arial" w:hAnsi="Arial" w:cs="Arial"/>
        </w:rPr>
        <w:t>the Purchasing Agency will:</w:t>
      </w:r>
    </w:p>
    <w:p w:rsidR="008B67BB" w:rsidRDefault="008B67BB" w:rsidP="008B67BB">
      <w:pPr>
        <w:numPr>
          <w:ilvl w:val="0"/>
          <w:numId w:val="14"/>
        </w:numPr>
        <w:rPr>
          <w:rFonts w:ascii="Arial" w:hAnsi="Arial" w:cs="Arial"/>
        </w:rPr>
      </w:pPr>
      <w:r w:rsidRPr="00BF72EA">
        <w:rPr>
          <w:rFonts w:ascii="Arial" w:hAnsi="Arial" w:cs="Arial"/>
        </w:rPr>
        <w:t>advise the Provider of those differences</w:t>
      </w:r>
      <w:r>
        <w:rPr>
          <w:rFonts w:ascii="Arial" w:hAnsi="Arial" w:cs="Arial"/>
        </w:rPr>
        <w:t>;</w:t>
      </w:r>
      <w:r w:rsidRPr="00BF72EA">
        <w:rPr>
          <w:rFonts w:ascii="Arial" w:hAnsi="Arial" w:cs="Arial"/>
        </w:rPr>
        <w:t xml:space="preserve"> </w:t>
      </w:r>
    </w:p>
    <w:p w:rsidR="008B67BB" w:rsidRDefault="008B67BB" w:rsidP="008B67BB">
      <w:pPr>
        <w:numPr>
          <w:ilvl w:val="0"/>
          <w:numId w:val="14"/>
        </w:numPr>
        <w:rPr>
          <w:rFonts w:ascii="Arial" w:hAnsi="Arial" w:cs="Arial"/>
        </w:rPr>
      </w:pPr>
      <w:r>
        <w:rPr>
          <w:rFonts w:ascii="Arial" w:hAnsi="Arial" w:cs="Arial"/>
        </w:rPr>
        <w:lastRenderedPageBreak/>
        <w:t xml:space="preserve">consider whether </w:t>
      </w:r>
      <w:r w:rsidRPr="00BF72EA">
        <w:rPr>
          <w:rFonts w:ascii="Arial" w:hAnsi="Arial" w:cs="Arial"/>
        </w:rPr>
        <w:t>if viewed objectively and reasonably, those differences will give rise to a material change to the obligations or entitlements the Provider ha</w:t>
      </w:r>
      <w:r w:rsidRPr="00B91EA8">
        <w:rPr>
          <w:rFonts w:ascii="Arial" w:hAnsi="Arial" w:cs="Arial"/>
        </w:rPr>
        <w:t>s under this Outcome Agreement</w:t>
      </w:r>
      <w:r>
        <w:rPr>
          <w:rFonts w:ascii="Arial" w:hAnsi="Arial" w:cs="Arial"/>
        </w:rPr>
        <w:t xml:space="preserve">; and </w:t>
      </w:r>
    </w:p>
    <w:p w:rsidR="008B67BB" w:rsidRDefault="008B67BB" w:rsidP="008B67BB">
      <w:pPr>
        <w:numPr>
          <w:ilvl w:val="0"/>
          <w:numId w:val="14"/>
        </w:numPr>
        <w:rPr>
          <w:rFonts w:ascii="Arial" w:hAnsi="Arial" w:cs="Arial"/>
        </w:rPr>
      </w:pPr>
      <w:r>
        <w:rPr>
          <w:rFonts w:ascii="Arial" w:hAnsi="Arial" w:cs="Arial"/>
        </w:rPr>
        <w:t xml:space="preserve">if there is a material change (as described in clause (b)(ii) above) </w:t>
      </w:r>
      <w:r w:rsidRPr="00BF72EA">
        <w:rPr>
          <w:rFonts w:ascii="Arial" w:hAnsi="Arial" w:cs="Arial"/>
        </w:rPr>
        <w:t>consult with the Provider about whether it is appropriate for (</w:t>
      </w:r>
      <w:r w:rsidR="00795F19">
        <w:rPr>
          <w:rFonts w:ascii="Arial" w:hAnsi="Arial" w:cs="Arial"/>
        </w:rPr>
        <w:t>A</w:t>
      </w:r>
      <w:r w:rsidRPr="00BF72EA">
        <w:rPr>
          <w:rFonts w:ascii="Arial" w:hAnsi="Arial" w:cs="Arial"/>
        </w:rPr>
        <w:t>) above to apply to this Outcome Agreement</w:t>
      </w:r>
    </w:p>
    <w:p w:rsidR="008B67BB" w:rsidRDefault="008B67BB" w:rsidP="008B67BB">
      <w:pPr>
        <w:numPr>
          <w:ilvl w:val="0"/>
          <w:numId w:val="13"/>
        </w:numPr>
        <w:ind w:left="567" w:hanging="567"/>
        <w:rPr>
          <w:rFonts w:ascii="Arial" w:hAnsi="Arial" w:cs="Arial"/>
        </w:rPr>
      </w:pPr>
      <w:r w:rsidRPr="000444A7">
        <w:rPr>
          <w:rFonts w:ascii="Arial" w:hAnsi="Arial" w:cs="Arial"/>
        </w:rPr>
        <w:t>the Framework Terms and Conditions will be those that are</w:t>
      </w:r>
      <w:r>
        <w:rPr>
          <w:rFonts w:ascii="Arial" w:hAnsi="Arial" w:cs="Arial"/>
        </w:rPr>
        <w:t xml:space="preserve"> incorporated into (or</w:t>
      </w:r>
      <w:r w:rsidRPr="000444A7">
        <w:rPr>
          <w:rFonts w:ascii="Arial" w:hAnsi="Arial" w:cs="Arial"/>
        </w:rPr>
        <w:t xml:space="preserve"> appended to</w:t>
      </w:r>
      <w:r>
        <w:rPr>
          <w:rFonts w:ascii="Arial" w:hAnsi="Arial" w:cs="Arial"/>
        </w:rPr>
        <w:t>)</w:t>
      </w:r>
      <w:r w:rsidRPr="000444A7">
        <w:rPr>
          <w:rFonts w:ascii="Arial" w:hAnsi="Arial" w:cs="Arial"/>
        </w:rPr>
        <w:t xml:space="preserve"> this Outcome Agreement </w:t>
      </w:r>
      <w:r>
        <w:rPr>
          <w:rFonts w:ascii="Arial" w:hAnsi="Arial" w:cs="Arial"/>
        </w:rPr>
        <w:t xml:space="preserve">while the Provider is consulted under (a) above or, if consultation is unnecessary, </w:t>
      </w:r>
      <w:r w:rsidRPr="000444A7">
        <w:rPr>
          <w:rFonts w:ascii="Arial" w:hAnsi="Arial" w:cs="Arial"/>
        </w:rPr>
        <w:t xml:space="preserve">until such time as </w:t>
      </w:r>
      <w:r>
        <w:rPr>
          <w:rFonts w:ascii="Arial" w:hAnsi="Arial" w:cs="Arial"/>
        </w:rPr>
        <w:t>the Updated Framework Terms and Conditions</w:t>
      </w:r>
      <w:r w:rsidRPr="000444A7">
        <w:rPr>
          <w:rFonts w:ascii="Arial" w:hAnsi="Arial" w:cs="Arial"/>
        </w:rPr>
        <w:t xml:space="preserve"> are publicly posted</w:t>
      </w:r>
      <w:r>
        <w:rPr>
          <w:rFonts w:ascii="Arial" w:hAnsi="Arial" w:cs="Arial"/>
        </w:rPr>
        <w:t xml:space="preserve"> on </w:t>
      </w:r>
      <w:hyperlink r:id="rId15" w:history="1">
        <w:r w:rsidR="00E13C27" w:rsidRPr="00F62737">
          <w:rPr>
            <w:rStyle w:val="Hyperlink"/>
            <w:rFonts w:ascii="Arial" w:hAnsi="Arial" w:cs="Arial"/>
          </w:rPr>
          <w:t>http://www.business.govt.nz/procurement/pdf-library/functional-leadership/contracting-with-ngos/framework-terms-and-conditions-476-kb-pdf</w:t>
        </w:r>
      </w:hyperlink>
      <w:r w:rsidR="00E13C27" w:rsidRPr="00282302">
        <w:rPr>
          <w:rFonts w:ascii="Arial" w:hAnsi="Arial" w:cs="Arial"/>
          <w:highlight w:val="yellow"/>
        </w:rPr>
        <w:t xml:space="preserve"> </w:t>
      </w:r>
      <w:r w:rsidRPr="000444A7">
        <w:rPr>
          <w:rFonts w:ascii="Arial" w:hAnsi="Arial" w:cs="Arial"/>
        </w:rPr>
        <w:t xml:space="preserve">  </w:t>
      </w:r>
    </w:p>
    <w:p w:rsidR="008B67BB" w:rsidRPr="00567F70" w:rsidRDefault="008B67BB" w:rsidP="008B67BB">
      <w:pPr>
        <w:numPr>
          <w:ilvl w:val="0"/>
          <w:numId w:val="13"/>
        </w:numPr>
        <w:ind w:left="567" w:hanging="567"/>
        <w:rPr>
          <w:rFonts w:ascii="Arial" w:hAnsi="Arial" w:cs="Arial"/>
        </w:rPr>
      </w:pPr>
      <w:r w:rsidRPr="000444A7">
        <w:rPr>
          <w:rFonts w:ascii="Arial" w:hAnsi="Arial" w:cs="Arial"/>
        </w:rPr>
        <w:t>If</w:t>
      </w:r>
      <w:r>
        <w:rPr>
          <w:rFonts w:ascii="Arial" w:hAnsi="Arial" w:cs="Arial"/>
        </w:rPr>
        <w:t xml:space="preserve"> the Updated Framework Terms and Conditions will apply to this Outcome Agreement</w:t>
      </w:r>
      <w:r w:rsidRPr="000444A7">
        <w:rPr>
          <w:rFonts w:ascii="Arial" w:hAnsi="Arial" w:cs="Arial"/>
        </w:rPr>
        <w:t xml:space="preserve">, </w:t>
      </w:r>
      <w:r>
        <w:rPr>
          <w:rFonts w:ascii="Arial" w:hAnsi="Arial" w:cs="Arial"/>
        </w:rPr>
        <w:t>any</w:t>
      </w:r>
      <w:r w:rsidRPr="000444A7">
        <w:rPr>
          <w:rFonts w:ascii="Arial" w:hAnsi="Arial" w:cs="Arial"/>
        </w:rPr>
        <w:t xml:space="preserve"> Framework Terms and Conditions </w:t>
      </w:r>
      <w:r>
        <w:rPr>
          <w:rFonts w:ascii="Arial" w:hAnsi="Arial" w:cs="Arial"/>
        </w:rPr>
        <w:t xml:space="preserve">already incorporated (or </w:t>
      </w:r>
      <w:r w:rsidRPr="000444A7">
        <w:rPr>
          <w:rFonts w:ascii="Arial" w:hAnsi="Arial" w:cs="Arial"/>
        </w:rPr>
        <w:t>appended to</w:t>
      </w:r>
      <w:r>
        <w:rPr>
          <w:rFonts w:ascii="Arial" w:hAnsi="Arial" w:cs="Arial"/>
        </w:rPr>
        <w:t>)</w:t>
      </w:r>
      <w:r w:rsidRPr="000444A7">
        <w:rPr>
          <w:rFonts w:ascii="Arial" w:hAnsi="Arial" w:cs="Arial"/>
        </w:rPr>
        <w:t xml:space="preserve"> this Outcome Agreement </w:t>
      </w:r>
      <w:r w:rsidRPr="00610591">
        <w:rPr>
          <w:rFonts w:ascii="Arial" w:hAnsi="Arial" w:cs="Arial"/>
        </w:rPr>
        <w:t xml:space="preserve">will be deemed to be removed and replaced by those publicly posted </w:t>
      </w:r>
      <w:r>
        <w:rPr>
          <w:rFonts w:ascii="Arial" w:hAnsi="Arial" w:cs="Arial"/>
        </w:rPr>
        <w:t xml:space="preserve">Updated </w:t>
      </w:r>
      <w:r w:rsidRPr="00610591">
        <w:rPr>
          <w:rFonts w:ascii="Arial" w:hAnsi="Arial" w:cs="Arial"/>
        </w:rPr>
        <w:t>Framework Terms and Conditions.</w:t>
      </w:r>
    </w:p>
    <w:p w:rsidR="008B67BB" w:rsidRDefault="008B67BB" w:rsidP="008B67BB">
      <w:pPr>
        <w:ind w:left="567" w:hanging="567"/>
        <w:rPr>
          <w:rFonts w:ascii="Arial" w:hAnsi="Arial" w:cs="Arial"/>
          <w:b/>
        </w:rPr>
      </w:pPr>
      <w:r>
        <w:rPr>
          <w:rFonts w:ascii="Arial" w:hAnsi="Arial" w:cs="Arial"/>
          <w:b/>
        </w:rPr>
        <w:t>1</w:t>
      </w:r>
      <w:r>
        <w:rPr>
          <w:rFonts w:ascii="Arial" w:hAnsi="Arial" w:cs="Arial"/>
          <w:b/>
        </w:rPr>
        <w:tab/>
        <w:t>Relationship between this Outcome Agreement and the Framework Terms and Conditions</w:t>
      </w:r>
    </w:p>
    <w:p w:rsidR="008B67BB" w:rsidRDefault="008B67BB" w:rsidP="008B67BB">
      <w:pPr>
        <w:numPr>
          <w:ilvl w:val="1"/>
          <w:numId w:val="16"/>
        </w:numPr>
        <w:tabs>
          <w:tab w:val="left" w:pos="567"/>
        </w:tabs>
        <w:ind w:left="567" w:hanging="567"/>
        <w:rPr>
          <w:rFonts w:ascii="Arial" w:hAnsi="Arial" w:cs="Arial"/>
        </w:rPr>
      </w:pPr>
      <w:r>
        <w:rPr>
          <w:rFonts w:ascii="Arial" w:hAnsi="Arial" w:cs="Arial"/>
        </w:rPr>
        <w:t>This Outcome Agreement is deemed to incorporate all the Framework Terms and Conditions.  Accordingly, the Framework Terms and Conditions apply to the Services under this Outcome Agreement.</w:t>
      </w:r>
    </w:p>
    <w:p w:rsidR="008B67BB" w:rsidRDefault="008B67BB" w:rsidP="008B67BB">
      <w:pPr>
        <w:numPr>
          <w:ilvl w:val="1"/>
          <w:numId w:val="16"/>
        </w:numPr>
        <w:tabs>
          <w:tab w:val="left" w:pos="567"/>
        </w:tabs>
        <w:ind w:left="567" w:hanging="567"/>
        <w:rPr>
          <w:rFonts w:ascii="Arial" w:hAnsi="Arial" w:cs="Arial"/>
        </w:rPr>
      </w:pPr>
      <w:r>
        <w:rPr>
          <w:rFonts w:ascii="Arial" w:hAnsi="Arial" w:cs="Arial"/>
        </w:rPr>
        <w:t>Unless the context otherwise requires, all terms defined in the Framework Terms and Conditions have the same meaning in this Outcome Agreement.</w:t>
      </w:r>
    </w:p>
    <w:p w:rsidR="008B67BB" w:rsidRPr="001303E1" w:rsidRDefault="008B67BB" w:rsidP="008B67BB">
      <w:pPr>
        <w:numPr>
          <w:ilvl w:val="1"/>
          <w:numId w:val="16"/>
        </w:numPr>
        <w:tabs>
          <w:tab w:val="left" w:pos="567"/>
        </w:tabs>
        <w:ind w:left="567" w:hanging="567"/>
        <w:rPr>
          <w:rFonts w:ascii="Arial" w:hAnsi="Arial" w:cs="Arial"/>
        </w:rPr>
      </w:pPr>
      <w:r>
        <w:rPr>
          <w:rFonts w:ascii="Arial" w:hAnsi="Arial" w:cs="Arial"/>
        </w:rPr>
        <w:t>T</w:t>
      </w:r>
      <w:r w:rsidRPr="001303E1">
        <w:rPr>
          <w:rFonts w:ascii="Arial" w:hAnsi="Arial" w:cs="Arial"/>
        </w:rPr>
        <w:t xml:space="preserve">he Introduction </w:t>
      </w:r>
      <w:r>
        <w:rPr>
          <w:rFonts w:ascii="Arial" w:hAnsi="Arial" w:cs="Arial"/>
        </w:rPr>
        <w:t xml:space="preserve">above </w:t>
      </w:r>
      <w:r w:rsidRPr="001303E1">
        <w:rPr>
          <w:rFonts w:ascii="Arial" w:hAnsi="Arial" w:cs="Arial"/>
        </w:rPr>
        <w:t>form</w:t>
      </w:r>
      <w:r>
        <w:rPr>
          <w:rFonts w:ascii="Arial" w:hAnsi="Arial" w:cs="Arial"/>
        </w:rPr>
        <w:t>s</w:t>
      </w:r>
      <w:r w:rsidRPr="001303E1">
        <w:rPr>
          <w:rFonts w:ascii="Arial" w:hAnsi="Arial" w:cs="Arial"/>
        </w:rPr>
        <w:t xml:space="preserve"> part of this </w:t>
      </w:r>
      <w:r>
        <w:rPr>
          <w:rFonts w:ascii="Arial" w:hAnsi="Arial" w:cs="Arial"/>
        </w:rPr>
        <w:t>Outcome</w:t>
      </w:r>
      <w:r w:rsidRPr="001303E1">
        <w:rPr>
          <w:rFonts w:ascii="Arial" w:hAnsi="Arial" w:cs="Arial"/>
        </w:rPr>
        <w:t xml:space="preserve"> Agreement</w:t>
      </w:r>
      <w:r>
        <w:rPr>
          <w:rFonts w:ascii="Arial" w:hAnsi="Arial" w:cs="Arial"/>
        </w:rPr>
        <w:t>.</w:t>
      </w:r>
    </w:p>
    <w:p w:rsidR="008B67BB" w:rsidRDefault="008B67BB" w:rsidP="008B67BB">
      <w:pPr>
        <w:numPr>
          <w:ilvl w:val="0"/>
          <w:numId w:val="16"/>
        </w:numPr>
        <w:ind w:left="567" w:hanging="567"/>
      </w:pPr>
      <w:r>
        <w:rPr>
          <w:rFonts w:ascii="Arial" w:hAnsi="Arial" w:cs="Arial"/>
          <w:b/>
        </w:rPr>
        <w:t xml:space="preserve">Where more than one </w:t>
      </w:r>
      <w:r w:rsidRPr="00225123">
        <w:rPr>
          <w:rFonts w:ascii="Arial" w:hAnsi="Arial" w:cs="Arial"/>
          <w:b/>
        </w:rPr>
        <w:t>Purchasing Agency</w:t>
      </w:r>
      <w:r>
        <w:rPr>
          <w:rFonts w:ascii="Arial" w:hAnsi="Arial" w:cs="Arial"/>
          <w:b/>
        </w:rPr>
        <w:t xml:space="preserve"> is a party to this Outcome Agreement</w:t>
      </w:r>
    </w:p>
    <w:p w:rsidR="008B67BB" w:rsidRDefault="008B67BB" w:rsidP="008B67BB">
      <w:pPr>
        <w:tabs>
          <w:tab w:val="left" w:pos="567"/>
        </w:tabs>
        <w:ind w:left="567" w:hanging="567"/>
        <w:rPr>
          <w:rFonts w:ascii="Arial" w:hAnsi="Arial" w:cs="Arial"/>
        </w:rPr>
      </w:pPr>
      <w:r>
        <w:rPr>
          <w:rFonts w:ascii="Arial" w:hAnsi="Arial" w:cs="Arial"/>
        </w:rPr>
        <w:t>2.1</w:t>
      </w:r>
      <w:r>
        <w:rPr>
          <w:rFonts w:ascii="Arial" w:hAnsi="Arial" w:cs="Arial"/>
        </w:rPr>
        <w:tab/>
        <w:t>A reference in this Outcome Agreement to “the Purchasing Agency” means each, any or all of the Purchasing Agencies who are a party to this Outcome Agreement.  Any Purchasing Agency may exercise Purchasing Agency rights (as they relate to that Purchasing Agency only) under this Outcome Agreement.  Without limiting any collective responsibility the Purchasing Agencies have under the Framework Terms and Conditions, a Purchasing Agency may not represent another Purchasing Agency without that Purchasing Agency’s consent, and may only exercise rights, and is only required to do things relating to itself and Services being provided to it.  No Purchasing Agency is responsible for what another Purchasing Agency does, or fails to do, under this Outcome Agreement.  For example:</w:t>
      </w:r>
    </w:p>
    <w:p w:rsidR="008B67BB" w:rsidRDefault="008B67BB" w:rsidP="008B67BB">
      <w:pPr>
        <w:numPr>
          <w:ilvl w:val="1"/>
          <w:numId w:val="15"/>
        </w:numPr>
        <w:ind w:left="1276" w:hanging="709"/>
        <w:rPr>
          <w:rFonts w:ascii="Arial" w:hAnsi="Arial" w:cs="Arial"/>
        </w:rPr>
      </w:pPr>
      <w:r>
        <w:rPr>
          <w:rFonts w:ascii="Arial" w:hAnsi="Arial" w:cs="Arial"/>
        </w:rPr>
        <w:t>any extension of the term of this Outcome Agreement is only binding on a Purchasing Agency that provides its written consent to that extension; and</w:t>
      </w:r>
    </w:p>
    <w:p w:rsidR="008B67BB" w:rsidRPr="00965543" w:rsidRDefault="008B67BB" w:rsidP="008B67BB">
      <w:pPr>
        <w:numPr>
          <w:ilvl w:val="1"/>
          <w:numId w:val="15"/>
        </w:numPr>
        <w:ind w:left="1134" w:hanging="567"/>
        <w:rPr>
          <w:rFonts w:ascii="Arial" w:hAnsi="Arial" w:cs="Arial"/>
        </w:rPr>
      </w:pPr>
      <w:r w:rsidRPr="00965543">
        <w:rPr>
          <w:rFonts w:ascii="Arial" w:hAnsi="Arial" w:cs="Arial"/>
        </w:rPr>
        <w:t>Services, payments, conditions or incentives which are referable to a particular Purchasing Agency only relate to that Purchasing Agency and not the others</w:t>
      </w:r>
      <w:r>
        <w:rPr>
          <w:rFonts w:ascii="Arial" w:hAnsi="Arial" w:cs="Arial"/>
        </w:rPr>
        <w:t>.</w:t>
      </w:r>
    </w:p>
    <w:p w:rsidR="008B67BB" w:rsidRDefault="008B67BB" w:rsidP="008B67BB">
      <w:pPr>
        <w:tabs>
          <w:tab w:val="left" w:pos="567"/>
        </w:tabs>
        <w:ind w:left="567" w:hanging="567"/>
        <w:rPr>
          <w:rFonts w:ascii="Arial" w:hAnsi="Arial" w:cs="Arial"/>
        </w:rPr>
      </w:pPr>
      <w:r>
        <w:rPr>
          <w:rFonts w:ascii="Arial" w:hAnsi="Arial" w:cs="Arial"/>
        </w:rPr>
        <w:lastRenderedPageBreak/>
        <w:t>2.2</w:t>
      </w:r>
      <w:r>
        <w:rPr>
          <w:rFonts w:ascii="Arial" w:hAnsi="Arial" w:cs="Arial"/>
        </w:rPr>
        <w:tab/>
        <w:t>If a Purchasing Agency does or requests the Provider to do something which the Provider believes conflicts with what another Purchasing Agency requires or has requested, the Provider will advise each affected Purchasing Agency of that conflict and, until the conflict is resolved, the Provider will be entitled to perform the Services as if the thing giving rise to the conflict had not happened.</w:t>
      </w:r>
    </w:p>
    <w:p w:rsidR="008B67BB" w:rsidRPr="001303E1" w:rsidRDefault="008B67BB" w:rsidP="008B67BB">
      <w:pPr>
        <w:tabs>
          <w:tab w:val="left" w:pos="567"/>
        </w:tabs>
        <w:ind w:left="567" w:hanging="567"/>
        <w:rPr>
          <w:rFonts w:ascii="Arial" w:hAnsi="Arial" w:cs="Arial"/>
        </w:rPr>
      </w:pPr>
      <w:r>
        <w:rPr>
          <w:rFonts w:ascii="Arial" w:hAnsi="Arial" w:cs="Arial"/>
        </w:rPr>
        <w:t>2.3</w:t>
      </w:r>
      <w:r>
        <w:rPr>
          <w:rFonts w:ascii="Arial" w:hAnsi="Arial" w:cs="Arial"/>
        </w:rPr>
        <w:tab/>
        <w:t>The Framework Terms and Conditions set out the commitment Purchasing Agencies make around co-ordinating with the Provider and other Purchasing Agencies to make the provision of reports/information by the Provider, and conducting of any audits of the Service provision and the Provider as efficient and effective as is reasonably practicable.  This co-ordination will also take into account that the Provider may have multiple “Outcome Agreements” with multiple “Purchasing Agencies”, including ones who are not a party to this Outcome Agreement..</w:t>
      </w:r>
    </w:p>
    <w:p w:rsidR="008B67BB" w:rsidRDefault="008B67BB" w:rsidP="008B67BB">
      <w:pPr>
        <w:numPr>
          <w:ilvl w:val="0"/>
          <w:numId w:val="16"/>
        </w:numPr>
        <w:ind w:left="567" w:hanging="567"/>
        <w:rPr>
          <w:rFonts w:ascii="Arial" w:hAnsi="Arial" w:cs="Arial"/>
          <w:b/>
        </w:rPr>
      </w:pPr>
      <w:r>
        <w:rPr>
          <w:rFonts w:ascii="Arial" w:hAnsi="Arial" w:cs="Arial"/>
          <w:b/>
        </w:rPr>
        <w:t>Term of this Outcome Agreement</w:t>
      </w:r>
    </w:p>
    <w:p w:rsidR="008B67BB" w:rsidRDefault="008B67BB" w:rsidP="008B67BB">
      <w:pPr>
        <w:numPr>
          <w:ilvl w:val="1"/>
          <w:numId w:val="16"/>
        </w:numPr>
        <w:ind w:left="567" w:hanging="567"/>
        <w:rPr>
          <w:rFonts w:ascii="Arial" w:hAnsi="Arial" w:cs="Arial"/>
        </w:rPr>
      </w:pPr>
      <w:r>
        <w:rPr>
          <w:rFonts w:ascii="Arial" w:hAnsi="Arial" w:cs="Arial"/>
        </w:rPr>
        <w:t xml:space="preserve">This Outcome Agreement will commence on </w:t>
      </w:r>
      <w:r w:rsidR="00A1185D">
        <w:rPr>
          <w:rFonts w:ascii="Arial" w:hAnsi="Arial" w:cs="Arial"/>
        </w:rPr>
        <w:t xml:space="preserve">                       </w:t>
      </w:r>
      <w:r w:rsidR="00D71A22" w:rsidRPr="00D71A22">
        <w:rPr>
          <w:rFonts w:ascii="Arial" w:hAnsi="Arial" w:cs="Arial"/>
        </w:rPr>
        <w:t>and</w:t>
      </w:r>
      <w:r w:rsidRPr="00D71A22">
        <w:rPr>
          <w:rFonts w:ascii="Arial" w:hAnsi="Arial" w:cs="Arial"/>
        </w:rPr>
        <w:t xml:space="preserve"> </w:t>
      </w:r>
      <w:r w:rsidR="00BD3BB2">
        <w:rPr>
          <w:rFonts w:ascii="Arial" w:hAnsi="Arial" w:cs="Arial"/>
        </w:rPr>
        <w:t xml:space="preserve">may </w:t>
      </w:r>
      <w:r w:rsidR="004D660D">
        <w:rPr>
          <w:rFonts w:ascii="Arial" w:hAnsi="Arial" w:cs="Arial"/>
        </w:rPr>
        <w:t>be terminated</w:t>
      </w:r>
      <w:r>
        <w:rPr>
          <w:rFonts w:ascii="Arial" w:hAnsi="Arial" w:cs="Arial"/>
        </w:rPr>
        <w:t xml:space="preserve"> in accordance with the Framework Terms and Conditions or as otherwise allowed at Law.</w:t>
      </w:r>
    </w:p>
    <w:p w:rsidR="00CB543E" w:rsidRDefault="00CB543E" w:rsidP="008B67BB">
      <w:pPr>
        <w:numPr>
          <w:ilvl w:val="1"/>
          <w:numId w:val="16"/>
        </w:numPr>
        <w:ind w:left="567" w:hanging="567"/>
        <w:rPr>
          <w:rFonts w:ascii="Arial" w:hAnsi="Arial" w:cs="Arial"/>
        </w:rPr>
      </w:pPr>
      <w:r>
        <w:rPr>
          <w:rFonts w:ascii="Arial" w:hAnsi="Arial" w:cs="Arial"/>
        </w:rPr>
        <w:t>MSD intends to review the IRRS service within 12 months of implementation and the Outcome Agreement may be amended by mutual consent to reflecting any change in services.</w:t>
      </w:r>
    </w:p>
    <w:p w:rsidR="000E22C2" w:rsidRDefault="008B67BB" w:rsidP="008B67BB">
      <w:pPr>
        <w:numPr>
          <w:ilvl w:val="1"/>
          <w:numId w:val="16"/>
        </w:numPr>
        <w:ind w:left="567" w:hanging="567"/>
        <w:rPr>
          <w:rFonts w:ascii="Arial" w:hAnsi="Arial" w:cs="Arial"/>
        </w:rPr>
      </w:pPr>
      <w:r>
        <w:rPr>
          <w:rFonts w:ascii="Arial" w:hAnsi="Arial" w:cs="Arial"/>
        </w:rPr>
        <w:t>Not all Services recorded in this Outcome Agreement will be provided throughout the term of this Outcome Agreement, and Appendix 1 identified the term for each Service.</w:t>
      </w:r>
    </w:p>
    <w:p w:rsidR="008B67BB" w:rsidRPr="00416D74" w:rsidRDefault="008B67BB" w:rsidP="008B67BB">
      <w:pPr>
        <w:numPr>
          <w:ilvl w:val="0"/>
          <w:numId w:val="16"/>
        </w:numPr>
        <w:ind w:left="567" w:hanging="567"/>
        <w:rPr>
          <w:rFonts w:ascii="Arial" w:hAnsi="Arial" w:cs="Arial"/>
          <w:b/>
        </w:rPr>
      </w:pPr>
      <w:r>
        <w:rPr>
          <w:rFonts w:ascii="Arial" w:hAnsi="Arial" w:cs="Arial"/>
          <w:b/>
        </w:rPr>
        <w:t>Services, O</w:t>
      </w:r>
      <w:r w:rsidRPr="00416D74">
        <w:rPr>
          <w:rFonts w:ascii="Arial" w:hAnsi="Arial" w:cs="Arial"/>
          <w:b/>
        </w:rPr>
        <w:t>utcome</w:t>
      </w:r>
      <w:r>
        <w:rPr>
          <w:rFonts w:ascii="Arial" w:hAnsi="Arial" w:cs="Arial"/>
          <w:b/>
        </w:rPr>
        <w:t>(s)</w:t>
      </w:r>
      <w:r w:rsidRPr="00416D74">
        <w:rPr>
          <w:rFonts w:ascii="Arial" w:hAnsi="Arial" w:cs="Arial"/>
          <w:b/>
        </w:rPr>
        <w:t xml:space="preserve"> </w:t>
      </w:r>
      <w:r>
        <w:rPr>
          <w:rFonts w:ascii="Arial" w:hAnsi="Arial" w:cs="Arial"/>
          <w:b/>
        </w:rPr>
        <w:t>and performance measures</w:t>
      </w:r>
    </w:p>
    <w:p w:rsidR="008B67BB" w:rsidRDefault="008B67BB" w:rsidP="008B67BB">
      <w:pPr>
        <w:numPr>
          <w:ilvl w:val="1"/>
          <w:numId w:val="16"/>
        </w:numPr>
        <w:ind w:left="567" w:hanging="567"/>
        <w:rPr>
          <w:rFonts w:ascii="Arial" w:hAnsi="Arial" w:cs="Arial"/>
        </w:rPr>
      </w:pPr>
      <w:r>
        <w:rPr>
          <w:rFonts w:ascii="Arial" w:hAnsi="Arial" w:cs="Arial"/>
        </w:rPr>
        <w:t>The Provider will provide the Services to satisfy the performance measures set out in Appendix 1.  The performance measures set out in Appendix 1 for each Service will be used to determine whether the Provider has been successful in delivering each Service in accordance with this Outcome Agreement so as to contribute toward achieving the Outcome linked to each Service.</w:t>
      </w:r>
    </w:p>
    <w:p w:rsidR="008B67BB" w:rsidRDefault="008B67BB" w:rsidP="008B67BB">
      <w:pPr>
        <w:numPr>
          <w:ilvl w:val="1"/>
          <w:numId w:val="16"/>
        </w:numPr>
        <w:ind w:left="567" w:hanging="567"/>
        <w:rPr>
          <w:rFonts w:ascii="Arial" w:hAnsi="Arial" w:cs="Arial"/>
        </w:rPr>
      </w:pPr>
      <w:r>
        <w:rPr>
          <w:rFonts w:ascii="Arial" w:hAnsi="Arial" w:cs="Arial"/>
        </w:rPr>
        <w:t>In providing the Services the Provider must follow the reasonable directions of the Purchasing Agency.  Such directions must be consistent with the terms of this Outcome Agreement.</w:t>
      </w:r>
    </w:p>
    <w:p w:rsidR="008B67BB" w:rsidRDefault="008B67BB" w:rsidP="008B67BB">
      <w:pPr>
        <w:numPr>
          <w:ilvl w:val="0"/>
          <w:numId w:val="16"/>
        </w:numPr>
        <w:ind w:left="567" w:hanging="567"/>
        <w:rPr>
          <w:rFonts w:ascii="Arial" w:hAnsi="Arial" w:cs="Arial"/>
          <w:b/>
        </w:rPr>
      </w:pPr>
      <w:r>
        <w:rPr>
          <w:rFonts w:ascii="Arial" w:hAnsi="Arial" w:cs="Arial"/>
          <w:b/>
        </w:rPr>
        <w:t>Monitoring by the Purchasing Agency</w:t>
      </w:r>
    </w:p>
    <w:p w:rsidR="008B67BB" w:rsidRPr="00363BCA" w:rsidRDefault="008B67BB" w:rsidP="008B67BB">
      <w:pPr>
        <w:numPr>
          <w:ilvl w:val="1"/>
          <w:numId w:val="16"/>
        </w:numPr>
        <w:ind w:left="567" w:hanging="567"/>
        <w:rPr>
          <w:rFonts w:ascii="Arial" w:hAnsi="Arial" w:cs="Arial"/>
          <w:b/>
        </w:rPr>
      </w:pPr>
      <w:r>
        <w:rPr>
          <w:rFonts w:ascii="Arial" w:hAnsi="Arial" w:cs="Arial"/>
        </w:rPr>
        <w:t>The Purchasing Agency will undertake and maintain the scheduled monitoring activities at the times and frequencies set out in Appendix 2.</w:t>
      </w:r>
    </w:p>
    <w:p w:rsidR="008B67BB" w:rsidRDefault="008B67BB" w:rsidP="008B67BB">
      <w:pPr>
        <w:numPr>
          <w:ilvl w:val="0"/>
          <w:numId w:val="16"/>
        </w:numPr>
        <w:ind w:left="567" w:hanging="567"/>
        <w:rPr>
          <w:rFonts w:ascii="Arial" w:hAnsi="Arial" w:cs="Arial"/>
          <w:b/>
        </w:rPr>
      </w:pPr>
      <w:r>
        <w:rPr>
          <w:rFonts w:ascii="Arial" w:hAnsi="Arial" w:cs="Arial"/>
          <w:b/>
        </w:rPr>
        <w:t>Regular reporting by the Provider</w:t>
      </w:r>
    </w:p>
    <w:p w:rsidR="008B67BB" w:rsidRDefault="008B67BB" w:rsidP="008B67BB">
      <w:pPr>
        <w:numPr>
          <w:ilvl w:val="1"/>
          <w:numId w:val="16"/>
        </w:numPr>
        <w:ind w:left="567" w:hanging="567"/>
        <w:rPr>
          <w:rFonts w:ascii="Arial" w:hAnsi="Arial" w:cs="Arial"/>
        </w:rPr>
      </w:pPr>
      <w:r w:rsidRPr="00BB693A">
        <w:rPr>
          <w:rFonts w:ascii="Arial" w:hAnsi="Arial" w:cs="Arial"/>
        </w:rPr>
        <w:t>I</w:t>
      </w:r>
      <w:r>
        <w:rPr>
          <w:rFonts w:ascii="Arial" w:hAnsi="Arial" w:cs="Arial"/>
        </w:rPr>
        <w:t>n</w:t>
      </w:r>
      <w:r w:rsidRPr="00BB693A">
        <w:rPr>
          <w:rFonts w:ascii="Arial" w:hAnsi="Arial" w:cs="Arial"/>
        </w:rPr>
        <w:t xml:space="preserve"> providing </w:t>
      </w:r>
      <w:r>
        <w:rPr>
          <w:rFonts w:ascii="Arial" w:hAnsi="Arial" w:cs="Arial"/>
        </w:rPr>
        <w:t>the Services, the Provider will provide the Purchasing Agency with reports that include the details specified, at the times and frequency set out in Appendix 3.</w:t>
      </w:r>
    </w:p>
    <w:p w:rsidR="008B67BB" w:rsidRPr="00C06C1E" w:rsidRDefault="008B67BB" w:rsidP="008B67BB">
      <w:pPr>
        <w:numPr>
          <w:ilvl w:val="0"/>
          <w:numId w:val="16"/>
        </w:numPr>
        <w:ind w:left="567" w:hanging="567"/>
        <w:rPr>
          <w:rFonts w:ascii="Arial" w:hAnsi="Arial" w:cs="Arial"/>
          <w:b/>
        </w:rPr>
      </w:pPr>
      <w:r>
        <w:rPr>
          <w:rFonts w:ascii="Arial" w:hAnsi="Arial" w:cs="Arial"/>
          <w:b/>
        </w:rPr>
        <w:t>Regular a</w:t>
      </w:r>
      <w:r w:rsidRPr="00C06C1E">
        <w:rPr>
          <w:rFonts w:ascii="Arial" w:hAnsi="Arial" w:cs="Arial"/>
          <w:b/>
        </w:rPr>
        <w:t>udit</w:t>
      </w:r>
      <w:r>
        <w:rPr>
          <w:rFonts w:ascii="Arial" w:hAnsi="Arial" w:cs="Arial"/>
          <w:b/>
        </w:rPr>
        <w:t>s of the Provider</w:t>
      </w:r>
    </w:p>
    <w:p w:rsidR="008B67BB" w:rsidRDefault="008B67BB" w:rsidP="008B67BB">
      <w:pPr>
        <w:numPr>
          <w:ilvl w:val="1"/>
          <w:numId w:val="16"/>
        </w:numPr>
        <w:ind w:left="567" w:hanging="567"/>
        <w:rPr>
          <w:rFonts w:ascii="Arial" w:hAnsi="Arial" w:cs="Arial"/>
        </w:rPr>
      </w:pPr>
      <w:r>
        <w:rPr>
          <w:rFonts w:ascii="Arial" w:hAnsi="Arial" w:cs="Arial"/>
        </w:rPr>
        <w:lastRenderedPageBreak/>
        <w:t>The Purchasing Agency is currently required or permitted by Law to conduct the following audits of the Provider during the term of this Outcome Agreement.  The Purchasing Agency anticipates that those audits will be conducted on or around the time specified in Appendix 4.</w:t>
      </w:r>
    </w:p>
    <w:p w:rsidR="0034416A" w:rsidRDefault="0034416A" w:rsidP="0034416A">
      <w:pPr>
        <w:ind w:left="567"/>
        <w:rPr>
          <w:rFonts w:ascii="Arial" w:hAnsi="Arial" w:cs="Arial"/>
        </w:rPr>
      </w:pPr>
    </w:p>
    <w:p w:rsidR="008B67BB" w:rsidRPr="00D71A22" w:rsidRDefault="008B67BB" w:rsidP="008B67BB">
      <w:pPr>
        <w:numPr>
          <w:ilvl w:val="0"/>
          <w:numId w:val="16"/>
        </w:numPr>
        <w:ind w:left="567" w:hanging="567"/>
        <w:rPr>
          <w:rFonts w:ascii="Arial" w:hAnsi="Arial" w:cs="Arial"/>
          <w:b/>
        </w:rPr>
      </w:pPr>
      <w:r w:rsidRPr="00D71A22">
        <w:rPr>
          <w:rFonts w:ascii="Arial" w:hAnsi="Arial" w:cs="Arial"/>
          <w:b/>
        </w:rPr>
        <w:t>Payment</w:t>
      </w:r>
    </w:p>
    <w:p w:rsidR="008B67BB" w:rsidRPr="00171386" w:rsidRDefault="008B67BB" w:rsidP="008B67BB">
      <w:pPr>
        <w:numPr>
          <w:ilvl w:val="1"/>
          <w:numId w:val="16"/>
        </w:numPr>
        <w:ind w:left="567" w:hanging="567"/>
        <w:rPr>
          <w:rFonts w:ascii="Arial" w:hAnsi="Arial" w:cs="Arial"/>
        </w:rPr>
      </w:pPr>
      <w:r w:rsidRPr="00171386">
        <w:rPr>
          <w:rFonts w:ascii="Arial" w:hAnsi="Arial" w:cs="Arial"/>
        </w:rPr>
        <w:t>Subject to the Purchasing Agency’s rights under clause 13.1 to 13.3 of the Framework Terms and Conditions, the Purchasing Agency will pay the Provider the amounts specified for the Service, at the times and subject to any pre-conditions set out in Appendix 5.</w:t>
      </w:r>
    </w:p>
    <w:p w:rsidR="008B67BB" w:rsidRPr="009A0589" w:rsidRDefault="008B67BB" w:rsidP="008B67BB">
      <w:pPr>
        <w:numPr>
          <w:ilvl w:val="0"/>
          <w:numId w:val="16"/>
        </w:numPr>
        <w:ind w:left="567" w:hanging="567"/>
        <w:rPr>
          <w:rFonts w:ascii="Arial" w:hAnsi="Arial" w:cs="Arial"/>
          <w:b/>
        </w:rPr>
      </w:pPr>
      <w:r>
        <w:rPr>
          <w:rFonts w:ascii="Arial" w:hAnsi="Arial" w:cs="Arial"/>
          <w:b/>
        </w:rPr>
        <w:t>C</w:t>
      </w:r>
      <w:r w:rsidRPr="009A0589">
        <w:rPr>
          <w:rFonts w:ascii="Arial" w:hAnsi="Arial" w:cs="Arial"/>
          <w:b/>
        </w:rPr>
        <w:t>onditions</w:t>
      </w:r>
    </w:p>
    <w:p w:rsidR="008B67BB" w:rsidRDefault="008B67BB" w:rsidP="008B67BB">
      <w:pPr>
        <w:numPr>
          <w:ilvl w:val="1"/>
          <w:numId w:val="16"/>
        </w:numPr>
        <w:ind w:left="567" w:hanging="567"/>
        <w:rPr>
          <w:rFonts w:ascii="Arial" w:hAnsi="Arial" w:cs="Arial"/>
        </w:rPr>
      </w:pPr>
      <w:r>
        <w:rPr>
          <w:rFonts w:ascii="Arial" w:hAnsi="Arial" w:cs="Arial"/>
        </w:rPr>
        <w:t>The Provider must satisfy or comply with the conditions within the timeframes set out in Appendix 6:</w:t>
      </w:r>
    </w:p>
    <w:p w:rsidR="008B67BB" w:rsidRDefault="008B67BB" w:rsidP="008B67BB">
      <w:pPr>
        <w:numPr>
          <w:ilvl w:val="1"/>
          <w:numId w:val="16"/>
        </w:numPr>
        <w:ind w:left="567" w:hanging="567"/>
        <w:rPr>
          <w:rFonts w:ascii="Arial" w:hAnsi="Arial" w:cs="Arial"/>
        </w:rPr>
      </w:pPr>
      <w:r>
        <w:rPr>
          <w:rFonts w:ascii="Arial" w:hAnsi="Arial" w:cs="Arial"/>
        </w:rPr>
        <w:t>If the Provider fails to satisfy or comply with any of the conditions it is responsible for:</w:t>
      </w:r>
    </w:p>
    <w:p w:rsidR="008B67BB" w:rsidRDefault="008B67BB" w:rsidP="008B67BB">
      <w:pPr>
        <w:numPr>
          <w:ilvl w:val="0"/>
          <w:numId w:val="17"/>
        </w:numPr>
        <w:ind w:left="1134" w:hanging="567"/>
        <w:rPr>
          <w:rFonts w:ascii="Arial" w:hAnsi="Arial" w:cs="Arial"/>
        </w:rPr>
      </w:pPr>
      <w:r>
        <w:rPr>
          <w:rFonts w:ascii="Arial" w:hAnsi="Arial" w:cs="Arial"/>
        </w:rPr>
        <w:t xml:space="preserve">the Provider must notify the Purchasing Agency of that failure; and </w:t>
      </w:r>
    </w:p>
    <w:p w:rsidR="008B67BB" w:rsidRDefault="008B67BB" w:rsidP="008B67BB">
      <w:pPr>
        <w:numPr>
          <w:ilvl w:val="0"/>
          <w:numId w:val="17"/>
        </w:numPr>
        <w:ind w:left="1134" w:hanging="567"/>
        <w:rPr>
          <w:rFonts w:ascii="Arial" w:hAnsi="Arial" w:cs="Arial"/>
        </w:rPr>
      </w:pPr>
      <w:r>
        <w:rPr>
          <w:rFonts w:ascii="Arial" w:hAnsi="Arial" w:cs="Arial"/>
        </w:rPr>
        <w:t xml:space="preserve">the applicable consequence </w:t>
      </w:r>
      <w:r w:rsidRPr="009915DB">
        <w:rPr>
          <w:rFonts w:ascii="Arial" w:hAnsi="Arial" w:cs="Arial"/>
        </w:rPr>
        <w:t>set out in Appendix 6</w:t>
      </w:r>
      <w:r>
        <w:rPr>
          <w:rFonts w:ascii="Arial" w:hAnsi="Arial" w:cs="Arial"/>
        </w:rPr>
        <w:t xml:space="preserve"> will apply and, if none are specified for that condition, the consequence will be that the Purchasing Agency may:  </w:t>
      </w:r>
    </w:p>
    <w:p w:rsidR="008B67BB" w:rsidRDefault="008B67BB" w:rsidP="008B67BB">
      <w:pPr>
        <w:numPr>
          <w:ilvl w:val="0"/>
          <w:numId w:val="19"/>
        </w:numPr>
        <w:tabs>
          <w:tab w:val="left" w:pos="1701"/>
        </w:tabs>
        <w:rPr>
          <w:rFonts w:ascii="Arial" w:hAnsi="Arial" w:cs="Arial"/>
        </w:rPr>
      </w:pPr>
      <w:r>
        <w:rPr>
          <w:rFonts w:ascii="Arial" w:hAnsi="Arial" w:cs="Arial"/>
        </w:rPr>
        <w:t xml:space="preserve">require a Remedy Plan to be agreed (if appropriate); </w:t>
      </w:r>
    </w:p>
    <w:p w:rsidR="008B67BB" w:rsidRDefault="008B67BB" w:rsidP="008B67BB">
      <w:pPr>
        <w:numPr>
          <w:ilvl w:val="0"/>
          <w:numId w:val="19"/>
        </w:numPr>
        <w:tabs>
          <w:tab w:val="left" w:pos="1701"/>
        </w:tabs>
        <w:ind w:left="1701" w:hanging="567"/>
        <w:rPr>
          <w:rFonts w:ascii="Arial" w:hAnsi="Arial" w:cs="Arial"/>
        </w:rPr>
      </w:pPr>
      <w:r>
        <w:rPr>
          <w:rFonts w:ascii="Arial" w:hAnsi="Arial" w:cs="Arial"/>
        </w:rPr>
        <w:t>suspend some or all of the Services (and suspend payment for those Services) on giving written notice to the Provider;</w:t>
      </w:r>
    </w:p>
    <w:p w:rsidR="008B67BB" w:rsidRDefault="008B67BB" w:rsidP="008B67BB">
      <w:pPr>
        <w:numPr>
          <w:ilvl w:val="0"/>
          <w:numId w:val="19"/>
        </w:numPr>
        <w:tabs>
          <w:tab w:val="left" w:pos="1701"/>
        </w:tabs>
        <w:ind w:left="1701" w:hanging="567"/>
        <w:rPr>
          <w:rFonts w:ascii="Arial" w:hAnsi="Arial" w:cs="Arial"/>
        </w:rPr>
      </w:pPr>
      <w:r>
        <w:rPr>
          <w:rFonts w:ascii="Arial" w:hAnsi="Arial" w:cs="Arial"/>
        </w:rPr>
        <w:t>exercise its rights under clause 13.1 to 13.3 of the Framework Terms and Conditions; or</w:t>
      </w:r>
    </w:p>
    <w:p w:rsidR="008B67BB" w:rsidRDefault="008B67BB" w:rsidP="008B67BB">
      <w:pPr>
        <w:numPr>
          <w:ilvl w:val="0"/>
          <w:numId w:val="19"/>
        </w:numPr>
        <w:tabs>
          <w:tab w:val="left" w:pos="1701"/>
        </w:tabs>
        <w:ind w:left="1701" w:hanging="567"/>
        <w:rPr>
          <w:rFonts w:ascii="Arial" w:hAnsi="Arial" w:cs="Arial"/>
        </w:rPr>
      </w:pPr>
      <w:r>
        <w:rPr>
          <w:rFonts w:ascii="Arial" w:hAnsi="Arial" w:cs="Arial"/>
        </w:rPr>
        <w:t>exercise its termination rights described in the Framework Terms and Conditions.</w:t>
      </w:r>
    </w:p>
    <w:p w:rsidR="008B67BB" w:rsidRDefault="008B67BB" w:rsidP="008B67BB">
      <w:pPr>
        <w:numPr>
          <w:ilvl w:val="1"/>
          <w:numId w:val="16"/>
        </w:numPr>
        <w:ind w:left="567" w:hanging="567"/>
        <w:rPr>
          <w:rFonts w:ascii="Arial" w:hAnsi="Arial" w:cs="Arial"/>
        </w:rPr>
      </w:pPr>
      <w:r>
        <w:rPr>
          <w:rFonts w:ascii="Arial" w:hAnsi="Arial" w:cs="Arial"/>
        </w:rPr>
        <w:t xml:space="preserve">This Outcome Agreement is subject to the Purchasing Agency satisfying or complying with the </w:t>
      </w:r>
      <w:r w:rsidRPr="009E3708">
        <w:rPr>
          <w:rFonts w:ascii="Arial" w:hAnsi="Arial" w:cs="Arial"/>
        </w:rPr>
        <w:t>attached</w:t>
      </w:r>
      <w:r>
        <w:rPr>
          <w:rFonts w:ascii="Arial" w:hAnsi="Arial" w:cs="Arial"/>
        </w:rPr>
        <w:t xml:space="preserve"> conditions within the timeframes set out in Appendix 7.</w:t>
      </w:r>
    </w:p>
    <w:p w:rsidR="008B67BB" w:rsidRDefault="008B67BB" w:rsidP="008B67BB">
      <w:pPr>
        <w:numPr>
          <w:ilvl w:val="1"/>
          <w:numId w:val="16"/>
        </w:numPr>
        <w:ind w:left="567" w:hanging="567"/>
        <w:rPr>
          <w:rFonts w:ascii="Arial" w:hAnsi="Arial" w:cs="Arial"/>
        </w:rPr>
      </w:pPr>
      <w:r>
        <w:rPr>
          <w:rFonts w:ascii="Arial" w:hAnsi="Arial" w:cs="Arial"/>
        </w:rPr>
        <w:t>If the Purchasing Agency fails to satisfy or comply with any of the conditions it is responsible for:</w:t>
      </w:r>
    </w:p>
    <w:p w:rsidR="008B67BB" w:rsidRDefault="008B67BB" w:rsidP="008B67BB">
      <w:pPr>
        <w:numPr>
          <w:ilvl w:val="0"/>
          <w:numId w:val="18"/>
        </w:numPr>
        <w:ind w:left="1134" w:hanging="567"/>
        <w:rPr>
          <w:rFonts w:ascii="Arial" w:hAnsi="Arial" w:cs="Arial"/>
        </w:rPr>
      </w:pPr>
      <w:r>
        <w:rPr>
          <w:rFonts w:ascii="Arial" w:hAnsi="Arial" w:cs="Arial"/>
        </w:rPr>
        <w:t xml:space="preserve">the Purchasing Agency will notify the Provider of that failure; and </w:t>
      </w:r>
    </w:p>
    <w:p w:rsidR="008B67BB" w:rsidRDefault="008B67BB" w:rsidP="008B67BB">
      <w:pPr>
        <w:numPr>
          <w:ilvl w:val="0"/>
          <w:numId w:val="18"/>
        </w:numPr>
        <w:ind w:left="1134" w:hanging="567"/>
        <w:rPr>
          <w:rFonts w:ascii="Arial" w:hAnsi="Arial" w:cs="Arial"/>
        </w:rPr>
      </w:pPr>
      <w:r>
        <w:rPr>
          <w:rFonts w:ascii="Arial" w:hAnsi="Arial" w:cs="Arial"/>
        </w:rPr>
        <w:t xml:space="preserve">the applicable consequence </w:t>
      </w:r>
      <w:r w:rsidRPr="009915DB">
        <w:rPr>
          <w:rFonts w:ascii="Arial" w:hAnsi="Arial" w:cs="Arial"/>
        </w:rPr>
        <w:t xml:space="preserve">set out in Appendix </w:t>
      </w:r>
      <w:r>
        <w:rPr>
          <w:rFonts w:ascii="Arial" w:hAnsi="Arial" w:cs="Arial"/>
        </w:rPr>
        <w:t>7 will apply and, if none are specified for that condition, the consequence will be that the Purchasing Agency and the Provider will discuss with each other concerning what an appropriate response should be.</w:t>
      </w:r>
    </w:p>
    <w:p w:rsidR="008B67BB" w:rsidRDefault="008B67BB" w:rsidP="008B67BB">
      <w:pPr>
        <w:numPr>
          <w:ilvl w:val="0"/>
          <w:numId w:val="16"/>
        </w:numPr>
        <w:ind w:left="567" w:hanging="567"/>
        <w:rPr>
          <w:rFonts w:ascii="Arial" w:hAnsi="Arial" w:cs="Arial"/>
          <w:b/>
        </w:rPr>
      </w:pPr>
      <w:r>
        <w:rPr>
          <w:rFonts w:ascii="Arial" w:hAnsi="Arial" w:cs="Arial"/>
          <w:b/>
        </w:rPr>
        <w:t>Permitted information disclosure</w:t>
      </w:r>
    </w:p>
    <w:p w:rsidR="008B67BB" w:rsidRDefault="008B67BB" w:rsidP="008B67BB">
      <w:pPr>
        <w:numPr>
          <w:ilvl w:val="1"/>
          <w:numId w:val="16"/>
        </w:numPr>
        <w:ind w:left="567" w:hanging="567"/>
        <w:rPr>
          <w:rFonts w:ascii="Arial" w:hAnsi="Arial" w:cs="Arial"/>
        </w:rPr>
      </w:pPr>
      <w:r>
        <w:rPr>
          <w:rFonts w:ascii="Arial" w:hAnsi="Arial" w:cs="Arial"/>
        </w:rPr>
        <w:lastRenderedPageBreak/>
        <w:t xml:space="preserve">Despite clause 10 of the Framework Terms and Conditions relating to confidentiality the Purchasing Agency may publish the information on its website or otherwise disclose it to the persons named in Appendix </w:t>
      </w:r>
      <w:r w:rsidR="000374BE">
        <w:rPr>
          <w:rFonts w:ascii="Arial" w:hAnsi="Arial" w:cs="Arial"/>
        </w:rPr>
        <w:t>8</w:t>
      </w:r>
      <w:r>
        <w:rPr>
          <w:rFonts w:ascii="Arial" w:hAnsi="Arial" w:cs="Arial"/>
        </w:rPr>
        <w:t>, provided that in no circumstances will the Purchasing Agency disclose any personal information about an identifiable individual without the consent of that individual first being obtained.</w:t>
      </w:r>
    </w:p>
    <w:p w:rsidR="00F538D9" w:rsidRDefault="00F538D9" w:rsidP="00F538D9">
      <w:pPr>
        <w:rPr>
          <w:rFonts w:ascii="Arial" w:hAnsi="Arial" w:cs="Arial"/>
        </w:rPr>
      </w:pPr>
    </w:p>
    <w:p w:rsidR="00F538D9" w:rsidRDefault="00F538D9" w:rsidP="00F538D9">
      <w:pPr>
        <w:rPr>
          <w:rFonts w:ascii="Arial" w:hAnsi="Arial" w:cs="Arial"/>
        </w:rPr>
      </w:pPr>
    </w:p>
    <w:p w:rsidR="008B67BB" w:rsidRDefault="008B67BB" w:rsidP="008B67BB">
      <w:pPr>
        <w:numPr>
          <w:ilvl w:val="0"/>
          <w:numId w:val="16"/>
        </w:numPr>
        <w:ind w:left="567" w:hanging="567"/>
        <w:rPr>
          <w:rFonts w:ascii="Arial" w:hAnsi="Arial" w:cs="Arial"/>
          <w:b/>
        </w:rPr>
      </w:pPr>
      <w:r>
        <w:rPr>
          <w:rFonts w:ascii="Arial" w:hAnsi="Arial" w:cs="Arial"/>
          <w:b/>
        </w:rPr>
        <w:t>New Intellectual Property</w:t>
      </w:r>
    </w:p>
    <w:p w:rsidR="008B67BB" w:rsidRPr="002D4589" w:rsidRDefault="008B67BB" w:rsidP="008B67BB">
      <w:pPr>
        <w:numPr>
          <w:ilvl w:val="1"/>
          <w:numId w:val="16"/>
        </w:numPr>
        <w:ind w:left="567" w:hanging="567"/>
        <w:rPr>
          <w:rFonts w:ascii="Arial" w:hAnsi="Arial" w:cs="Arial"/>
        </w:rPr>
      </w:pPr>
      <w:r w:rsidRPr="002D4589">
        <w:rPr>
          <w:rFonts w:ascii="Arial" w:hAnsi="Arial" w:cs="Arial"/>
        </w:rPr>
        <w:t>Without limiting the intellectual property clauses in the Framework Terms and Conditions, any new Intellectual Property Rights (</w:t>
      </w:r>
      <w:r w:rsidRPr="002D4589">
        <w:rPr>
          <w:rFonts w:ascii="Arial" w:hAnsi="Arial" w:cs="Arial"/>
          <w:b/>
        </w:rPr>
        <w:t>New IP</w:t>
      </w:r>
      <w:r w:rsidRPr="002D4589">
        <w:rPr>
          <w:rFonts w:ascii="Arial" w:hAnsi="Arial" w:cs="Arial"/>
        </w:rPr>
        <w:t xml:space="preserve">) that will be created by the Provider in connection with the </w:t>
      </w:r>
      <w:r w:rsidR="002D4589" w:rsidRPr="002D4589">
        <w:rPr>
          <w:rFonts w:ascii="Arial" w:hAnsi="Arial" w:cs="Arial"/>
        </w:rPr>
        <w:t>Services will</w:t>
      </w:r>
      <w:r w:rsidRPr="002D4589">
        <w:rPr>
          <w:rFonts w:ascii="Arial" w:hAnsi="Arial" w:cs="Arial"/>
        </w:rPr>
        <w:t xml:space="preserve"> </w:t>
      </w:r>
      <w:r w:rsidR="002D4589" w:rsidRPr="002D4589">
        <w:rPr>
          <w:rFonts w:ascii="Arial" w:hAnsi="Arial" w:cs="Arial"/>
        </w:rPr>
        <w:t>be licensed</w:t>
      </w:r>
      <w:r w:rsidRPr="002D4589">
        <w:rPr>
          <w:rFonts w:ascii="Arial" w:hAnsi="Arial" w:cs="Arial"/>
        </w:rPr>
        <w:t xml:space="preserve"> to the other party or parties in accordance with clause 11.3 of the Framework Terms and Conditions.</w:t>
      </w:r>
    </w:p>
    <w:p w:rsidR="008B67BB" w:rsidRPr="00CA17B9" w:rsidRDefault="008B67BB" w:rsidP="008B67BB">
      <w:pPr>
        <w:numPr>
          <w:ilvl w:val="0"/>
          <w:numId w:val="16"/>
        </w:numPr>
        <w:ind w:left="567" w:hanging="567"/>
        <w:rPr>
          <w:rFonts w:ascii="Arial" w:hAnsi="Arial" w:cs="Arial"/>
          <w:b/>
        </w:rPr>
      </w:pPr>
      <w:r w:rsidRPr="00CA17B9">
        <w:rPr>
          <w:rFonts w:ascii="Arial" w:hAnsi="Arial" w:cs="Arial"/>
          <w:b/>
        </w:rPr>
        <w:t>Contact Details</w:t>
      </w:r>
    </w:p>
    <w:p w:rsidR="008B67BB" w:rsidRDefault="008B67BB" w:rsidP="008B67BB">
      <w:pPr>
        <w:numPr>
          <w:ilvl w:val="1"/>
          <w:numId w:val="16"/>
        </w:numPr>
        <w:ind w:left="567" w:hanging="567"/>
        <w:rPr>
          <w:rFonts w:ascii="Arial" w:hAnsi="Arial" w:cs="Arial"/>
        </w:rPr>
      </w:pPr>
      <w:r w:rsidRPr="00CA17B9">
        <w:rPr>
          <w:rFonts w:ascii="Arial" w:hAnsi="Arial" w:cs="Arial"/>
        </w:rPr>
        <w:t>Each party’s initial postal address, physical address</w:t>
      </w:r>
      <w:r>
        <w:rPr>
          <w:rFonts w:ascii="Arial" w:hAnsi="Arial" w:cs="Arial"/>
        </w:rPr>
        <w:t xml:space="preserve">, </w:t>
      </w:r>
      <w:r w:rsidRPr="00CA17B9">
        <w:rPr>
          <w:rFonts w:ascii="Arial" w:hAnsi="Arial" w:cs="Arial"/>
        </w:rPr>
        <w:t>email address</w:t>
      </w:r>
      <w:r>
        <w:rPr>
          <w:rFonts w:ascii="Arial" w:hAnsi="Arial" w:cs="Arial"/>
        </w:rPr>
        <w:t>,</w:t>
      </w:r>
      <w:r w:rsidRPr="00CA17B9">
        <w:rPr>
          <w:rFonts w:ascii="Arial" w:hAnsi="Arial" w:cs="Arial"/>
        </w:rPr>
        <w:t xml:space="preserve"> </w:t>
      </w:r>
      <w:r>
        <w:rPr>
          <w:rFonts w:ascii="Arial" w:hAnsi="Arial" w:cs="Arial"/>
        </w:rPr>
        <w:t xml:space="preserve">phone number and Relationship Manager details </w:t>
      </w:r>
      <w:r w:rsidRPr="00CA17B9">
        <w:rPr>
          <w:rFonts w:ascii="Arial" w:hAnsi="Arial" w:cs="Arial"/>
        </w:rPr>
        <w:t>is set out below:</w:t>
      </w:r>
    </w:p>
    <w:p w:rsidR="008B67BB" w:rsidRDefault="008B67BB" w:rsidP="008B67BB">
      <w:pPr>
        <w:ind w:left="567"/>
        <w:rPr>
          <w:rFonts w:ascii="Arial" w:hAnsi="Arial" w:cs="Arial"/>
        </w:rPr>
      </w:pPr>
      <w:r w:rsidRPr="00AD3B74">
        <w:rPr>
          <w:rFonts w:ascii="Arial" w:hAnsi="Arial" w:cs="Arial"/>
          <w:b/>
        </w:rPr>
        <w:t>Purchasing Agency</w:t>
      </w:r>
      <w:r>
        <w:rPr>
          <w:rFonts w:ascii="Arial" w:hAnsi="Arial" w:cs="Arial"/>
        </w:rPr>
        <w:t>:</w:t>
      </w:r>
      <w:r>
        <w:rPr>
          <w:rFonts w:ascii="Arial" w:hAnsi="Arial" w:cs="Arial"/>
        </w:rPr>
        <w:tab/>
        <w:t>Ministry of Social Development</w:t>
      </w:r>
    </w:p>
    <w:p w:rsidR="008B67BB" w:rsidRPr="00AD3B74" w:rsidRDefault="008B67BB" w:rsidP="008B67BB">
      <w:pPr>
        <w:ind w:left="567"/>
        <w:rPr>
          <w:rFonts w:ascii="Arial" w:hAnsi="Arial" w:cs="Arial"/>
        </w:rPr>
      </w:pPr>
      <w:r w:rsidRPr="00AD3B74">
        <w:rPr>
          <w:rFonts w:ascii="Arial" w:hAnsi="Arial" w:cs="Arial"/>
        </w:rPr>
        <w:t>Postal address:</w:t>
      </w:r>
      <w:r w:rsidRPr="00AD3B74">
        <w:rPr>
          <w:rFonts w:ascii="Arial" w:hAnsi="Arial" w:cs="Arial"/>
        </w:rPr>
        <w:tab/>
      </w:r>
      <w:r w:rsidR="00D71A22">
        <w:rPr>
          <w:rFonts w:ascii="Arial" w:hAnsi="Arial" w:cs="Arial"/>
        </w:rPr>
        <w:t>PO Box 1556, Wellington 6140</w:t>
      </w:r>
      <w:r>
        <w:rPr>
          <w:rFonts w:ascii="Arial" w:hAnsi="Arial" w:cs="Arial"/>
        </w:rPr>
        <w:tab/>
      </w:r>
      <w:r w:rsidRPr="00AD3B74">
        <w:rPr>
          <w:rFonts w:ascii="Arial" w:hAnsi="Arial" w:cs="Arial"/>
        </w:rPr>
        <w:tab/>
      </w:r>
    </w:p>
    <w:p w:rsidR="008B67BB" w:rsidRPr="00AD3B74" w:rsidRDefault="008B67BB" w:rsidP="008B67BB">
      <w:pPr>
        <w:ind w:left="567"/>
        <w:rPr>
          <w:rFonts w:ascii="Arial" w:hAnsi="Arial" w:cs="Arial"/>
        </w:rPr>
      </w:pPr>
      <w:r w:rsidRPr="00AD3B74">
        <w:rPr>
          <w:rFonts w:ascii="Arial" w:hAnsi="Arial" w:cs="Arial"/>
        </w:rPr>
        <w:t>Email address:</w:t>
      </w:r>
      <w:r w:rsidRPr="00AD3B74">
        <w:rPr>
          <w:rFonts w:ascii="Arial" w:hAnsi="Arial" w:cs="Arial"/>
        </w:rPr>
        <w:tab/>
      </w:r>
      <w:r w:rsidRPr="00AD3B74">
        <w:rPr>
          <w:rFonts w:ascii="Arial" w:hAnsi="Arial" w:cs="Arial"/>
        </w:rPr>
        <w:tab/>
      </w:r>
    </w:p>
    <w:p w:rsidR="008B67BB" w:rsidRDefault="008B67BB" w:rsidP="008B67BB">
      <w:pPr>
        <w:ind w:left="567"/>
        <w:rPr>
          <w:rFonts w:ascii="Arial" w:hAnsi="Arial" w:cs="Arial"/>
        </w:rPr>
      </w:pPr>
      <w:r w:rsidRPr="00AD3B74">
        <w:rPr>
          <w:rFonts w:ascii="Arial" w:hAnsi="Arial" w:cs="Arial"/>
        </w:rPr>
        <w:t>Phone number:</w:t>
      </w:r>
      <w:r>
        <w:rPr>
          <w:rFonts w:ascii="Arial" w:hAnsi="Arial" w:cs="Arial"/>
        </w:rPr>
        <w:tab/>
      </w:r>
      <w:r>
        <w:rPr>
          <w:rFonts w:ascii="Arial" w:hAnsi="Arial" w:cs="Arial"/>
        </w:rPr>
        <w:tab/>
        <w:t xml:space="preserve">  </w:t>
      </w:r>
    </w:p>
    <w:p w:rsidR="008B67BB" w:rsidRDefault="008B67BB" w:rsidP="008B67BB">
      <w:pPr>
        <w:ind w:left="567"/>
        <w:rPr>
          <w:rFonts w:ascii="Arial" w:hAnsi="Arial" w:cs="Arial"/>
        </w:rPr>
      </w:pPr>
      <w:r>
        <w:rPr>
          <w:rFonts w:ascii="Arial" w:hAnsi="Arial" w:cs="Arial"/>
        </w:rPr>
        <w:t>Relationship Manager:</w:t>
      </w:r>
      <w:r>
        <w:rPr>
          <w:rFonts w:ascii="Arial" w:hAnsi="Arial" w:cs="Arial"/>
        </w:rPr>
        <w:tab/>
      </w:r>
    </w:p>
    <w:p w:rsidR="008B67BB" w:rsidRDefault="008B67BB" w:rsidP="008B67BB">
      <w:pPr>
        <w:ind w:left="567"/>
        <w:rPr>
          <w:rFonts w:ascii="Arial" w:hAnsi="Arial" w:cs="Arial"/>
        </w:rPr>
      </w:pPr>
      <w:r w:rsidRPr="00AD3B74">
        <w:rPr>
          <w:rFonts w:ascii="Arial" w:hAnsi="Arial" w:cs="Arial"/>
          <w:b/>
        </w:rPr>
        <w:t>Provider</w:t>
      </w:r>
      <w:r>
        <w:rPr>
          <w:rFonts w:ascii="Arial" w:hAnsi="Arial" w:cs="Arial"/>
        </w:rPr>
        <w:t>:</w:t>
      </w:r>
      <w:r>
        <w:rPr>
          <w:rFonts w:ascii="Arial" w:hAnsi="Arial" w:cs="Arial"/>
        </w:rPr>
        <w:tab/>
      </w:r>
      <w:r>
        <w:rPr>
          <w:rFonts w:ascii="Arial" w:hAnsi="Arial" w:cs="Arial"/>
        </w:rPr>
        <w:tab/>
      </w:r>
    </w:p>
    <w:p w:rsidR="008B67BB" w:rsidRPr="00AD3B74" w:rsidRDefault="008B67BB" w:rsidP="008B67BB">
      <w:pPr>
        <w:ind w:left="567"/>
        <w:rPr>
          <w:rFonts w:ascii="Arial" w:hAnsi="Arial" w:cs="Arial"/>
        </w:rPr>
      </w:pPr>
      <w:r w:rsidRPr="00AD3B74">
        <w:rPr>
          <w:rFonts w:ascii="Arial" w:hAnsi="Arial" w:cs="Arial"/>
        </w:rPr>
        <w:t>Postal address:</w:t>
      </w:r>
      <w:r w:rsidRPr="00AD3B74">
        <w:rPr>
          <w:rFonts w:ascii="Arial" w:hAnsi="Arial" w:cs="Arial"/>
        </w:rPr>
        <w:tab/>
      </w:r>
      <w:r>
        <w:rPr>
          <w:rFonts w:ascii="Arial" w:hAnsi="Arial" w:cs="Arial"/>
        </w:rPr>
        <w:tab/>
      </w:r>
    </w:p>
    <w:p w:rsidR="008B67BB" w:rsidRPr="00AD3B74" w:rsidRDefault="008B67BB" w:rsidP="008B67BB">
      <w:pPr>
        <w:ind w:left="567"/>
        <w:rPr>
          <w:rFonts w:ascii="Arial" w:hAnsi="Arial" w:cs="Arial"/>
        </w:rPr>
      </w:pPr>
      <w:r w:rsidRPr="00AD3B74">
        <w:rPr>
          <w:rFonts w:ascii="Arial" w:hAnsi="Arial" w:cs="Arial"/>
        </w:rPr>
        <w:t>Email address:</w:t>
      </w:r>
      <w:r w:rsidRPr="00AD3B74">
        <w:rPr>
          <w:rFonts w:ascii="Arial" w:hAnsi="Arial" w:cs="Arial"/>
        </w:rPr>
        <w:tab/>
      </w:r>
      <w:r w:rsidRPr="00AD3B74">
        <w:rPr>
          <w:rFonts w:ascii="Arial" w:hAnsi="Arial" w:cs="Arial"/>
        </w:rPr>
        <w:tab/>
      </w:r>
    </w:p>
    <w:p w:rsidR="008B67BB" w:rsidRDefault="008B67BB" w:rsidP="008B67BB">
      <w:pPr>
        <w:ind w:left="567"/>
        <w:rPr>
          <w:rFonts w:ascii="Arial" w:hAnsi="Arial" w:cs="Arial"/>
        </w:rPr>
      </w:pPr>
      <w:r w:rsidRPr="00AD3B74">
        <w:rPr>
          <w:rFonts w:ascii="Arial" w:hAnsi="Arial" w:cs="Arial"/>
        </w:rPr>
        <w:t>Phone number:</w:t>
      </w:r>
      <w:r>
        <w:rPr>
          <w:rFonts w:ascii="Arial" w:hAnsi="Arial" w:cs="Arial"/>
        </w:rPr>
        <w:tab/>
      </w:r>
      <w:r>
        <w:rPr>
          <w:rFonts w:ascii="Arial" w:hAnsi="Arial" w:cs="Arial"/>
        </w:rPr>
        <w:tab/>
      </w:r>
    </w:p>
    <w:p w:rsidR="008B67BB" w:rsidRDefault="008B67BB" w:rsidP="008B67BB">
      <w:pPr>
        <w:ind w:left="567"/>
        <w:rPr>
          <w:rFonts w:ascii="Arial" w:hAnsi="Arial" w:cs="Arial"/>
        </w:rPr>
      </w:pPr>
      <w:r>
        <w:rPr>
          <w:rFonts w:ascii="Arial" w:hAnsi="Arial" w:cs="Arial"/>
        </w:rPr>
        <w:t>Relationship Manager:</w:t>
      </w:r>
      <w:r>
        <w:rPr>
          <w:rFonts w:ascii="Arial" w:hAnsi="Arial" w:cs="Arial"/>
        </w:rPr>
        <w:tab/>
      </w:r>
    </w:p>
    <w:p w:rsidR="008B67BB" w:rsidRPr="00E32FE1" w:rsidRDefault="008B67BB" w:rsidP="008B67BB">
      <w:pPr>
        <w:numPr>
          <w:ilvl w:val="0"/>
          <w:numId w:val="16"/>
        </w:numPr>
        <w:ind w:left="567" w:hanging="567"/>
        <w:rPr>
          <w:rFonts w:ascii="Arial" w:hAnsi="Arial" w:cs="Arial"/>
          <w:b/>
        </w:rPr>
      </w:pPr>
      <w:r w:rsidRPr="00E32FE1">
        <w:rPr>
          <w:rFonts w:ascii="Arial" w:hAnsi="Arial" w:cs="Arial"/>
          <w:b/>
        </w:rPr>
        <w:t>Special terms</w:t>
      </w:r>
    </w:p>
    <w:p w:rsidR="008B67BB" w:rsidRPr="00E32FE1" w:rsidRDefault="008B67BB" w:rsidP="008B67BB">
      <w:pPr>
        <w:tabs>
          <w:tab w:val="left" w:pos="567"/>
        </w:tabs>
        <w:ind w:left="567" w:hanging="567"/>
        <w:rPr>
          <w:rFonts w:ascii="Arial" w:hAnsi="Arial" w:cs="Arial"/>
        </w:rPr>
      </w:pPr>
      <w:r>
        <w:rPr>
          <w:rFonts w:ascii="Arial" w:hAnsi="Arial" w:cs="Arial"/>
        </w:rPr>
        <w:t>14.1</w:t>
      </w:r>
      <w:r>
        <w:rPr>
          <w:rFonts w:ascii="Arial" w:hAnsi="Arial" w:cs="Arial"/>
        </w:rPr>
        <w:tab/>
      </w:r>
      <w:r w:rsidRPr="00E32FE1">
        <w:rPr>
          <w:rFonts w:ascii="Arial" w:hAnsi="Arial" w:cs="Arial"/>
        </w:rPr>
        <w:t xml:space="preserve">The Purchasing Agency and the Provider also agree that the </w:t>
      </w:r>
      <w:r>
        <w:rPr>
          <w:rFonts w:ascii="Arial" w:hAnsi="Arial" w:cs="Arial"/>
        </w:rPr>
        <w:t xml:space="preserve">special terms </w:t>
      </w:r>
      <w:r w:rsidRPr="00E32FE1">
        <w:rPr>
          <w:rFonts w:ascii="Arial" w:hAnsi="Arial" w:cs="Arial"/>
        </w:rPr>
        <w:t xml:space="preserve">set out in Appendix </w:t>
      </w:r>
      <w:r w:rsidR="0087726E">
        <w:rPr>
          <w:rFonts w:ascii="Arial" w:hAnsi="Arial" w:cs="Arial"/>
        </w:rPr>
        <w:t>9</w:t>
      </w:r>
      <w:r>
        <w:rPr>
          <w:rFonts w:ascii="Arial" w:hAnsi="Arial" w:cs="Arial"/>
        </w:rPr>
        <w:t xml:space="preserve"> also apply to the Provider and/or the Services.  Unless there is very clear agreement otherwise, any special terms will be read consistent with the spirit and intent of the Framework Terms and Conditions.</w:t>
      </w:r>
    </w:p>
    <w:p w:rsidR="00F33D95" w:rsidRDefault="00F33D95">
      <w:pPr>
        <w:rPr>
          <w:rFonts w:ascii="Arial" w:hAnsi="Arial" w:cs="Arial"/>
          <w:b/>
        </w:rPr>
      </w:pPr>
      <w:r>
        <w:rPr>
          <w:rFonts w:ascii="Arial" w:hAnsi="Arial" w:cs="Arial"/>
          <w:b/>
        </w:rPr>
        <w:br w:type="page"/>
      </w:r>
    </w:p>
    <w:p w:rsidR="008B67BB" w:rsidRPr="009A0589" w:rsidRDefault="008B67BB" w:rsidP="008B67BB">
      <w:pPr>
        <w:rPr>
          <w:rFonts w:ascii="Arial" w:hAnsi="Arial" w:cs="Arial"/>
          <w:b/>
        </w:rPr>
      </w:pPr>
      <w:r w:rsidRPr="009A0589">
        <w:rPr>
          <w:rFonts w:ascii="Arial" w:hAnsi="Arial" w:cs="Arial"/>
          <w:b/>
        </w:rPr>
        <w:lastRenderedPageBreak/>
        <w:t>Signatures</w:t>
      </w:r>
    </w:p>
    <w:p w:rsidR="008B67BB" w:rsidRDefault="008B67BB" w:rsidP="008B67BB">
      <w:pPr>
        <w:rPr>
          <w:rFonts w:ascii="Arial" w:hAnsi="Arial" w:cs="Arial"/>
        </w:rPr>
      </w:pPr>
      <w:r>
        <w:rPr>
          <w:rFonts w:ascii="Arial" w:hAnsi="Arial" w:cs="Arial"/>
        </w:rPr>
        <w:t>Signed for and on behalf of the Purchasing Agency as follows:</w:t>
      </w:r>
    </w:p>
    <w:p w:rsidR="008B67BB" w:rsidRDefault="008B67BB" w:rsidP="008B67BB">
      <w:pPr>
        <w:rPr>
          <w:rFonts w:ascii="Arial" w:hAnsi="Arial" w:cs="Arial"/>
        </w:rPr>
      </w:pPr>
    </w:p>
    <w:p w:rsidR="008B67BB" w:rsidRPr="00A72B06" w:rsidRDefault="008B67BB" w:rsidP="008B67B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p>
    <w:p w:rsidR="008B67BB" w:rsidRDefault="008B67BB" w:rsidP="008B67BB">
      <w:pPr>
        <w:rPr>
          <w:rFonts w:ascii="Arial" w:hAnsi="Arial" w:cs="Arial"/>
        </w:rPr>
      </w:pPr>
      <w:r>
        <w:rPr>
          <w:rFonts w:ascii="Arial" w:hAnsi="Arial" w:cs="Arial"/>
        </w:rPr>
        <w:t xml:space="preserve">Signed by </w:t>
      </w:r>
      <w:r w:rsidR="00CD22C0">
        <w:rPr>
          <w:rFonts w:ascii="Arial" w:hAnsi="Arial" w:cs="Arial"/>
        </w:rPr>
        <w:t xml:space="preserve">Kelvin </w:t>
      </w:r>
      <w:r w:rsidR="00A1185D">
        <w:rPr>
          <w:rFonts w:ascii="Arial" w:hAnsi="Arial" w:cs="Arial"/>
        </w:rPr>
        <w:t>Moffatt, General</w:t>
      </w:r>
      <w:r w:rsidR="00CD22C0">
        <w:rPr>
          <w:rFonts w:ascii="Arial" w:hAnsi="Arial" w:cs="Arial"/>
        </w:rPr>
        <w:t xml:space="preserve"> Manager</w:t>
      </w:r>
      <w:r>
        <w:rPr>
          <w:rFonts w:ascii="Arial" w:hAnsi="Arial" w:cs="Arial"/>
        </w:rPr>
        <w:t>,</w:t>
      </w:r>
      <w:r>
        <w:rPr>
          <w:rFonts w:ascii="Arial" w:hAnsi="Arial" w:cs="Arial"/>
        </w:rPr>
        <w:tab/>
      </w:r>
      <w:r>
        <w:rPr>
          <w:rFonts w:ascii="Arial" w:hAnsi="Arial" w:cs="Arial"/>
        </w:rPr>
        <w:tab/>
      </w:r>
      <w:r>
        <w:rPr>
          <w:rFonts w:ascii="Arial" w:hAnsi="Arial" w:cs="Arial"/>
        </w:rPr>
        <w:tab/>
        <w:t>Date</w:t>
      </w:r>
    </w:p>
    <w:p w:rsidR="008B67BB" w:rsidRDefault="00CD22C0" w:rsidP="008B67BB">
      <w:pPr>
        <w:rPr>
          <w:rFonts w:ascii="Arial" w:hAnsi="Arial" w:cs="Arial"/>
        </w:rPr>
      </w:pPr>
      <w:r>
        <w:rPr>
          <w:rFonts w:ascii="Arial" w:hAnsi="Arial" w:cs="Arial"/>
        </w:rPr>
        <w:t>Work and Income</w:t>
      </w:r>
    </w:p>
    <w:p w:rsidR="008B67BB" w:rsidRPr="00643A31" w:rsidRDefault="008B67BB" w:rsidP="008B67BB">
      <w:pPr>
        <w:rPr>
          <w:rFonts w:ascii="Arial" w:hAnsi="Arial" w:cs="Arial"/>
        </w:rPr>
      </w:pPr>
      <w:r w:rsidRPr="00643A31">
        <w:rPr>
          <w:rFonts w:ascii="Arial" w:hAnsi="Arial" w:cs="Arial"/>
        </w:rPr>
        <w:t>I have a delegation under section 41 of the State Sector Act 1988 to sign for the Ministry.</w:t>
      </w:r>
    </w:p>
    <w:p w:rsidR="008B67BB" w:rsidRDefault="008B67BB" w:rsidP="008B67BB">
      <w:pPr>
        <w:rPr>
          <w:rFonts w:ascii="Arial" w:hAnsi="Arial" w:cs="Arial"/>
        </w:rPr>
      </w:pPr>
    </w:p>
    <w:p w:rsidR="008B67BB" w:rsidRDefault="008B67BB" w:rsidP="008B67BB">
      <w:pPr>
        <w:rPr>
          <w:rFonts w:ascii="Arial" w:hAnsi="Arial" w:cs="Arial"/>
        </w:rPr>
      </w:pPr>
      <w:r>
        <w:rPr>
          <w:rFonts w:ascii="Arial" w:hAnsi="Arial" w:cs="Arial"/>
        </w:rPr>
        <w:t xml:space="preserve">Signed for and on behalf of the </w:t>
      </w:r>
      <w:r w:rsidRPr="009E3708">
        <w:rPr>
          <w:rFonts w:ascii="Arial" w:hAnsi="Arial" w:cs="Arial"/>
          <w:highlight w:val="yellow"/>
        </w:rPr>
        <w:t>Provider</w:t>
      </w:r>
      <w:r>
        <w:rPr>
          <w:rFonts w:ascii="Arial" w:hAnsi="Arial" w:cs="Arial"/>
        </w:rPr>
        <w:t xml:space="preserve"> as follows:</w:t>
      </w:r>
    </w:p>
    <w:p w:rsidR="008B67BB" w:rsidRDefault="008B67BB" w:rsidP="008B67BB">
      <w:pPr>
        <w:rPr>
          <w:rFonts w:ascii="Arial" w:hAnsi="Arial" w:cs="Arial"/>
        </w:rPr>
      </w:pPr>
    </w:p>
    <w:p w:rsidR="008B67BB" w:rsidRPr="00A72B06" w:rsidRDefault="008B67BB" w:rsidP="008B67B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p>
    <w:p w:rsidR="008B67BB" w:rsidRDefault="008B67BB" w:rsidP="008B67BB">
      <w:pPr>
        <w:rPr>
          <w:rFonts w:ascii="Arial" w:hAnsi="Arial" w:cs="Arial"/>
        </w:rPr>
      </w:pPr>
      <w:r>
        <w:rPr>
          <w:rFonts w:ascii="Arial" w:hAnsi="Arial" w:cs="Arial"/>
        </w:rPr>
        <w:t>Signed by</w:t>
      </w:r>
      <w:r>
        <w:rPr>
          <w:rFonts w:ascii="Arial" w:hAnsi="Arial" w:cs="Arial"/>
        </w:rPr>
        <w:tab/>
      </w:r>
      <w:r>
        <w:rPr>
          <w:rFonts w:ascii="Arial" w:hAnsi="Arial" w:cs="Arial"/>
        </w:rPr>
        <w:tab/>
      </w:r>
      <w:r>
        <w:rPr>
          <w:rFonts w:ascii="Arial" w:hAnsi="Arial" w:cs="Arial"/>
        </w:rPr>
        <w:tab/>
      </w:r>
      <w:r>
        <w:rPr>
          <w:rFonts w:ascii="Arial" w:hAnsi="Arial" w:cs="Arial"/>
        </w:rPr>
        <w:tab/>
        <w:t>Date</w:t>
      </w:r>
    </w:p>
    <w:p w:rsidR="008B67BB" w:rsidRDefault="008B67BB" w:rsidP="008B67BB">
      <w:pPr>
        <w:rPr>
          <w:rFonts w:ascii="Arial" w:hAnsi="Arial" w:cs="Arial"/>
        </w:rPr>
      </w:pPr>
      <w:r>
        <w:rPr>
          <w:rFonts w:ascii="Arial" w:hAnsi="Arial" w:cs="Arial"/>
        </w:rPr>
        <w:t xml:space="preserve">I have authority to sign for </w:t>
      </w:r>
      <w:r w:rsidRPr="009E3708">
        <w:rPr>
          <w:rFonts w:ascii="Arial" w:hAnsi="Arial" w:cs="Arial"/>
          <w:highlight w:val="yellow"/>
        </w:rPr>
        <w:t>the Provider</w:t>
      </w:r>
      <w:r>
        <w:rPr>
          <w:rFonts w:ascii="Arial" w:hAnsi="Arial" w:cs="Arial"/>
        </w:rPr>
        <w:t>.</w:t>
      </w:r>
    </w:p>
    <w:p w:rsidR="008B67BB" w:rsidRDefault="008B67BB">
      <w:r>
        <w:br w:type="page"/>
      </w:r>
    </w:p>
    <w:p w:rsidR="008B67BB" w:rsidRDefault="008B67BB" w:rsidP="00B5357A">
      <w:pPr>
        <w:sectPr w:rsidR="008B67BB" w:rsidSect="008B67BB">
          <w:pgSz w:w="11906" w:h="16838"/>
          <w:pgMar w:top="1440" w:right="1440" w:bottom="1440" w:left="1440" w:header="709" w:footer="709" w:gutter="0"/>
          <w:cols w:space="708"/>
          <w:docGrid w:linePitch="360"/>
        </w:sectPr>
      </w:pPr>
    </w:p>
    <w:p w:rsidR="008B67BB" w:rsidRPr="009E3708" w:rsidRDefault="008B67BB" w:rsidP="008B67BB">
      <w:pPr>
        <w:jc w:val="center"/>
        <w:rPr>
          <w:rFonts w:ascii="Arial" w:hAnsi="Arial" w:cs="Arial"/>
          <w:b/>
          <w:sz w:val="28"/>
          <w:szCs w:val="28"/>
          <w:u w:val="single"/>
        </w:rPr>
      </w:pPr>
      <w:r w:rsidRPr="009E3708">
        <w:rPr>
          <w:rFonts w:ascii="Arial" w:hAnsi="Arial" w:cs="Arial"/>
          <w:b/>
          <w:sz w:val="28"/>
          <w:szCs w:val="28"/>
          <w:u w:val="single"/>
        </w:rPr>
        <w:lastRenderedPageBreak/>
        <w:t>Appendix 1 – Services, Outcomes to be achieved, and performance measures</w:t>
      </w:r>
    </w:p>
    <w:p w:rsidR="008B67BB" w:rsidRPr="00667D63" w:rsidRDefault="008B67BB" w:rsidP="008B67BB">
      <w:pPr>
        <w:rPr>
          <w:rFonts w:ascii="Arial" w:hAnsi="Arial" w:cs="Arial"/>
          <w:b/>
          <w:sz w:val="28"/>
          <w:szCs w:val="28"/>
        </w:rPr>
      </w:pPr>
      <w:r w:rsidRPr="00667D63">
        <w:rPr>
          <w:rFonts w:ascii="Arial" w:hAnsi="Arial" w:cs="Arial"/>
          <w:b/>
          <w:sz w:val="28"/>
          <w:szCs w:val="28"/>
        </w:rPr>
        <w:t>Table 1</w:t>
      </w:r>
      <w:r>
        <w:rPr>
          <w:rFonts w:ascii="Arial" w:hAnsi="Arial" w:cs="Arial"/>
          <w:b/>
          <w:sz w:val="28"/>
          <w:szCs w:val="28"/>
        </w:rPr>
        <w:t>A –Services for Work and Income</w:t>
      </w:r>
    </w:p>
    <w:p w:rsidR="00D71A22" w:rsidRDefault="008B67BB" w:rsidP="00D71A22">
      <w:pPr>
        <w:tabs>
          <w:tab w:val="left" w:pos="2835"/>
        </w:tabs>
        <w:rPr>
          <w:rFonts w:ascii="Arial" w:hAnsi="Arial" w:cs="Arial"/>
        </w:rPr>
      </w:pPr>
      <w:r>
        <w:rPr>
          <w:rFonts w:ascii="Arial" w:hAnsi="Arial" w:cs="Arial"/>
          <w:b/>
        </w:rPr>
        <w:t>Outcome (Population):</w:t>
      </w:r>
      <w:r>
        <w:rPr>
          <w:rFonts w:ascii="Arial" w:hAnsi="Arial" w:cs="Arial"/>
          <w:b/>
        </w:rPr>
        <w:tab/>
      </w:r>
      <w:r w:rsidR="00D71A22">
        <w:rPr>
          <w:rFonts w:ascii="Arial" w:hAnsi="Arial" w:cs="Arial"/>
        </w:rPr>
        <w:t>Affordable and well maintained Housing is available for high needs tenants</w:t>
      </w:r>
    </w:p>
    <w:p w:rsidR="008B67BB" w:rsidRPr="0083121E" w:rsidRDefault="00D71A22" w:rsidP="00D71A22">
      <w:pPr>
        <w:tabs>
          <w:tab w:val="left" w:pos="2835"/>
        </w:tabs>
        <w:rPr>
          <w:rFonts w:ascii="Arial" w:hAnsi="Arial" w:cs="Arial"/>
        </w:rPr>
      </w:pPr>
      <w:r w:rsidRPr="0083121E">
        <w:rPr>
          <w:rFonts w:ascii="Arial" w:hAnsi="Arial" w:cs="Arial"/>
          <w:b/>
        </w:rPr>
        <w:t>Indicators (Population):</w:t>
      </w:r>
      <w:r w:rsidRPr="0083121E">
        <w:rPr>
          <w:rFonts w:ascii="Arial" w:hAnsi="Arial" w:cs="Arial"/>
        </w:rPr>
        <w:tab/>
      </w:r>
      <w:r w:rsidR="00737115">
        <w:rPr>
          <w:rFonts w:ascii="Arial" w:hAnsi="Arial" w:cs="Arial"/>
        </w:rPr>
        <w:t>Social Housing Register</w:t>
      </w:r>
    </w:p>
    <w:p w:rsidR="008B67BB" w:rsidRPr="0083121E" w:rsidRDefault="00D71A22" w:rsidP="0083121E">
      <w:pPr>
        <w:tabs>
          <w:tab w:val="left" w:pos="2835"/>
        </w:tabs>
        <w:rPr>
          <w:rFonts w:ascii="Arial" w:hAnsi="Arial" w:cs="Arial"/>
        </w:rPr>
      </w:pPr>
      <w:r w:rsidRPr="0083121E">
        <w:rPr>
          <w:rFonts w:ascii="Arial" w:hAnsi="Arial" w:cs="Arial"/>
          <w:b/>
        </w:rPr>
        <w:t>Client Group:</w:t>
      </w:r>
      <w:r w:rsidRPr="0083121E">
        <w:rPr>
          <w:rFonts w:ascii="Arial" w:hAnsi="Arial" w:cs="Arial"/>
        </w:rPr>
        <w:tab/>
        <w:t>High needs tenants</w:t>
      </w:r>
    </w:p>
    <w:tbl>
      <w:tblPr>
        <w:tblW w:w="4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472"/>
        <w:gridCol w:w="2564"/>
        <w:gridCol w:w="2564"/>
        <w:gridCol w:w="2564"/>
      </w:tblGrid>
      <w:tr w:rsidR="00F535C6" w:rsidTr="009E7A39">
        <w:trPr>
          <w:tblHeader/>
        </w:trPr>
        <w:tc>
          <w:tcPr>
            <w:tcW w:w="1426" w:type="pct"/>
            <w:tcBorders>
              <w:top w:val="single" w:sz="4" w:space="0" w:color="auto"/>
              <w:left w:val="single" w:sz="4" w:space="0" w:color="auto"/>
              <w:bottom w:val="single" w:sz="4" w:space="0" w:color="auto"/>
              <w:right w:val="single" w:sz="4" w:space="0" w:color="auto"/>
            </w:tcBorders>
            <w:hideMark/>
          </w:tcPr>
          <w:p w:rsidR="00F535C6" w:rsidRDefault="00F535C6" w:rsidP="00D71A22">
            <w:pPr>
              <w:rPr>
                <w:rFonts w:ascii="Arial" w:hAnsi="Arial" w:cs="Arial"/>
                <w:b/>
              </w:rPr>
            </w:pPr>
            <w:r>
              <w:rPr>
                <w:rFonts w:ascii="Arial" w:hAnsi="Arial" w:cs="Arial"/>
                <w:b/>
              </w:rPr>
              <w:t>Service</w:t>
            </w:r>
          </w:p>
        </w:tc>
        <w:tc>
          <w:tcPr>
            <w:tcW w:w="574" w:type="pct"/>
            <w:tcBorders>
              <w:top w:val="single" w:sz="4" w:space="0" w:color="auto"/>
              <w:left w:val="single" w:sz="4" w:space="0" w:color="auto"/>
              <w:bottom w:val="single" w:sz="4" w:space="0" w:color="auto"/>
              <w:right w:val="single" w:sz="4" w:space="0" w:color="auto"/>
            </w:tcBorders>
          </w:tcPr>
          <w:p w:rsidR="00F535C6" w:rsidRDefault="00F535C6" w:rsidP="00D71A22">
            <w:pPr>
              <w:jc w:val="center"/>
              <w:rPr>
                <w:rFonts w:ascii="Arial" w:hAnsi="Arial" w:cs="Arial"/>
                <w:b/>
              </w:rPr>
            </w:pPr>
            <w:r>
              <w:rPr>
                <w:rFonts w:ascii="Arial" w:hAnsi="Arial" w:cs="Arial"/>
                <w:b/>
              </w:rPr>
              <w:t>Term</w:t>
            </w:r>
          </w:p>
        </w:tc>
        <w:tc>
          <w:tcPr>
            <w:tcW w:w="1000" w:type="pct"/>
            <w:tcBorders>
              <w:top w:val="single" w:sz="4" w:space="0" w:color="auto"/>
              <w:left w:val="single" w:sz="4" w:space="0" w:color="auto"/>
              <w:bottom w:val="single" w:sz="4" w:space="0" w:color="auto"/>
              <w:right w:val="single" w:sz="4" w:space="0" w:color="auto"/>
            </w:tcBorders>
          </w:tcPr>
          <w:p w:rsidR="00F535C6" w:rsidRDefault="00F535C6" w:rsidP="00D71A22">
            <w:pPr>
              <w:rPr>
                <w:rFonts w:ascii="Arial" w:hAnsi="Arial" w:cs="Arial"/>
                <w:b/>
              </w:rPr>
            </w:pPr>
            <w:r>
              <w:rPr>
                <w:rFonts w:ascii="Arial" w:hAnsi="Arial" w:cs="Arial"/>
                <w:b/>
              </w:rPr>
              <w:t>Contracted volume</w:t>
            </w:r>
          </w:p>
        </w:tc>
        <w:tc>
          <w:tcPr>
            <w:tcW w:w="1000" w:type="pct"/>
            <w:tcBorders>
              <w:top w:val="single" w:sz="4" w:space="0" w:color="auto"/>
              <w:left w:val="single" w:sz="4" w:space="0" w:color="auto"/>
              <w:bottom w:val="single" w:sz="4" w:space="0" w:color="auto"/>
              <w:right w:val="single" w:sz="4" w:space="0" w:color="auto"/>
            </w:tcBorders>
          </w:tcPr>
          <w:p w:rsidR="00F535C6" w:rsidRDefault="00F535C6" w:rsidP="00D71A22">
            <w:pPr>
              <w:rPr>
                <w:rFonts w:ascii="Arial" w:hAnsi="Arial" w:cs="Arial"/>
                <w:b/>
              </w:rPr>
            </w:pPr>
            <w:r>
              <w:rPr>
                <w:rFonts w:ascii="Arial" w:hAnsi="Arial" w:cs="Arial"/>
                <w:b/>
              </w:rPr>
              <w:t>Unit of Service</w:t>
            </w:r>
          </w:p>
        </w:tc>
        <w:tc>
          <w:tcPr>
            <w:tcW w:w="1001" w:type="pct"/>
            <w:tcBorders>
              <w:top w:val="single" w:sz="4" w:space="0" w:color="auto"/>
              <w:left w:val="single" w:sz="4" w:space="0" w:color="auto"/>
              <w:bottom w:val="single" w:sz="4" w:space="0" w:color="auto"/>
              <w:right w:val="single" w:sz="4" w:space="0" w:color="auto"/>
            </w:tcBorders>
            <w:hideMark/>
          </w:tcPr>
          <w:p w:rsidR="00F535C6" w:rsidRDefault="00F535C6" w:rsidP="00D71A22">
            <w:pPr>
              <w:rPr>
                <w:rFonts w:ascii="Arial" w:hAnsi="Arial" w:cs="Arial"/>
                <w:b/>
              </w:rPr>
            </w:pPr>
            <w:r>
              <w:rPr>
                <w:rFonts w:ascii="Arial" w:hAnsi="Arial" w:cs="Arial"/>
                <w:b/>
              </w:rPr>
              <w:t>Performance measure</w:t>
            </w:r>
          </w:p>
        </w:tc>
      </w:tr>
      <w:tr w:rsidR="00F535C6" w:rsidTr="009E7A39">
        <w:tc>
          <w:tcPr>
            <w:tcW w:w="1426" w:type="pct"/>
            <w:tcBorders>
              <w:top w:val="single" w:sz="4" w:space="0" w:color="auto"/>
              <w:left w:val="single" w:sz="4" w:space="0" w:color="auto"/>
              <w:bottom w:val="single" w:sz="4" w:space="0" w:color="auto"/>
              <w:right w:val="single" w:sz="4" w:space="0" w:color="auto"/>
            </w:tcBorders>
            <w:vAlign w:val="center"/>
          </w:tcPr>
          <w:p w:rsidR="00F535C6" w:rsidRPr="00381BD5" w:rsidRDefault="00F535C6" w:rsidP="005A307A">
            <w:pPr>
              <w:spacing w:after="0"/>
              <w:rPr>
                <w:rFonts w:ascii="Arial" w:hAnsi="Arial" w:cs="Arial"/>
              </w:rPr>
            </w:pPr>
            <w:r>
              <w:rPr>
                <w:rFonts w:ascii="Arial" w:hAnsi="Arial" w:cs="Arial"/>
              </w:rPr>
              <w:t>Income Related Rent Subsidy Tenancy</w:t>
            </w:r>
          </w:p>
        </w:tc>
        <w:tc>
          <w:tcPr>
            <w:tcW w:w="574" w:type="pct"/>
            <w:tcBorders>
              <w:top w:val="single" w:sz="4" w:space="0" w:color="auto"/>
              <w:left w:val="single" w:sz="4" w:space="0" w:color="auto"/>
              <w:bottom w:val="single" w:sz="4" w:space="0" w:color="auto"/>
              <w:right w:val="single" w:sz="4" w:space="0" w:color="auto"/>
            </w:tcBorders>
          </w:tcPr>
          <w:p w:rsidR="00F535C6" w:rsidRDefault="00BD3BB2" w:rsidP="00BD3BB2">
            <w:pPr>
              <w:jc w:val="center"/>
              <w:rPr>
                <w:rFonts w:ascii="Arial" w:hAnsi="Arial" w:cs="Arial"/>
              </w:rPr>
            </w:pPr>
            <w:r w:rsidRPr="00737115">
              <w:rPr>
                <w:rFonts w:ascii="Arial" w:hAnsi="Arial" w:cs="Arial"/>
                <w:highlight w:val="yellow"/>
              </w:rPr>
              <w:t xml:space="preserve">From </w:t>
            </w:r>
            <w:r w:rsidR="00F535C6" w:rsidRPr="00737115">
              <w:rPr>
                <w:rFonts w:ascii="Arial" w:hAnsi="Arial" w:cs="Arial"/>
                <w:highlight w:val="yellow"/>
              </w:rPr>
              <w:t>14 April 2014</w:t>
            </w:r>
            <w:r w:rsidR="00F535C6">
              <w:rPr>
                <w:rFonts w:ascii="Arial" w:hAnsi="Arial" w:cs="Arial"/>
              </w:rPr>
              <w:t xml:space="preserve"> </w:t>
            </w:r>
          </w:p>
          <w:p w:rsidR="00CD22C0" w:rsidRDefault="00CD22C0" w:rsidP="00BD3BB2">
            <w:pPr>
              <w:jc w:val="center"/>
              <w:rPr>
                <w:rFonts w:ascii="Arial" w:hAnsi="Arial" w:cs="Arial"/>
              </w:rPr>
            </w:pPr>
            <w:r>
              <w:rPr>
                <w:rFonts w:ascii="Arial" w:hAnsi="Arial" w:cs="Arial"/>
              </w:rPr>
              <w:t>Until termination of the outcome agreement</w:t>
            </w:r>
          </w:p>
        </w:tc>
        <w:tc>
          <w:tcPr>
            <w:tcW w:w="1000" w:type="pct"/>
            <w:tcBorders>
              <w:top w:val="single" w:sz="4" w:space="0" w:color="auto"/>
              <w:left w:val="single" w:sz="4" w:space="0" w:color="auto"/>
              <w:bottom w:val="single" w:sz="4" w:space="0" w:color="auto"/>
              <w:right w:val="single" w:sz="4" w:space="0" w:color="auto"/>
            </w:tcBorders>
          </w:tcPr>
          <w:p w:rsidR="00F535C6" w:rsidRDefault="00F535C6" w:rsidP="005A307A">
            <w:pPr>
              <w:jc w:val="center"/>
              <w:rPr>
                <w:rFonts w:ascii="Arial" w:hAnsi="Arial" w:cs="Arial"/>
              </w:rPr>
            </w:pPr>
            <w:r>
              <w:rPr>
                <w:rFonts w:ascii="Arial" w:hAnsi="Arial" w:cs="Arial"/>
              </w:rPr>
              <w:t>Not applicable. Subject to individual tenancy referral</w:t>
            </w:r>
          </w:p>
        </w:tc>
        <w:tc>
          <w:tcPr>
            <w:tcW w:w="1000" w:type="pct"/>
            <w:tcBorders>
              <w:top w:val="single" w:sz="4" w:space="0" w:color="auto"/>
              <w:left w:val="single" w:sz="4" w:space="0" w:color="auto"/>
              <w:bottom w:val="single" w:sz="4" w:space="0" w:color="auto"/>
              <w:right w:val="single" w:sz="4" w:space="0" w:color="auto"/>
            </w:tcBorders>
          </w:tcPr>
          <w:p w:rsidR="00F535C6" w:rsidRDefault="00F535C6" w:rsidP="00D71A22">
            <w:pPr>
              <w:jc w:val="center"/>
              <w:rPr>
                <w:rFonts w:ascii="Arial" w:hAnsi="Arial" w:cs="Arial"/>
              </w:rPr>
            </w:pPr>
            <w:r>
              <w:rPr>
                <w:rFonts w:ascii="Arial" w:hAnsi="Arial" w:cs="Arial"/>
              </w:rPr>
              <w:t>IRRS Tenancy</w:t>
            </w:r>
          </w:p>
        </w:tc>
        <w:tc>
          <w:tcPr>
            <w:tcW w:w="1001" w:type="pct"/>
            <w:tcBorders>
              <w:top w:val="single" w:sz="4" w:space="0" w:color="auto"/>
              <w:left w:val="single" w:sz="4" w:space="0" w:color="auto"/>
              <w:bottom w:val="single" w:sz="4" w:space="0" w:color="auto"/>
              <w:right w:val="single" w:sz="4" w:space="0" w:color="auto"/>
            </w:tcBorders>
          </w:tcPr>
          <w:p w:rsidR="00F535C6" w:rsidRDefault="00F535C6" w:rsidP="000374BE">
            <w:pPr>
              <w:rPr>
                <w:rFonts w:ascii="Arial" w:hAnsi="Arial" w:cs="Arial"/>
              </w:rPr>
            </w:pPr>
            <w:r>
              <w:rPr>
                <w:rFonts w:ascii="Arial" w:hAnsi="Arial" w:cs="Arial"/>
              </w:rPr>
              <w:t>Refer to Reporting Template attached as Appendix 1</w:t>
            </w:r>
            <w:r w:rsidR="00AA4550">
              <w:rPr>
                <w:rFonts w:ascii="Arial" w:hAnsi="Arial" w:cs="Arial"/>
              </w:rPr>
              <w:t>1</w:t>
            </w:r>
          </w:p>
        </w:tc>
      </w:tr>
    </w:tbl>
    <w:p w:rsidR="008B67BB" w:rsidRDefault="008B67BB" w:rsidP="008B67BB"/>
    <w:p w:rsidR="008B67BB" w:rsidRDefault="008B67BB" w:rsidP="008B67BB">
      <w:pPr>
        <w:pStyle w:val="ListParagraph"/>
        <w:tabs>
          <w:tab w:val="left" w:pos="1276"/>
        </w:tabs>
        <w:spacing w:before="120"/>
        <w:ind w:left="0"/>
        <w:contextualSpacing w:val="0"/>
        <w:jc w:val="both"/>
        <w:rPr>
          <w:rFonts w:cs="Arial"/>
          <w:b/>
        </w:rPr>
      </w:pPr>
      <w:r>
        <w:rPr>
          <w:rFonts w:cs="Arial"/>
          <w:b/>
        </w:rPr>
        <w:t xml:space="preserve">The </w:t>
      </w:r>
      <w:r w:rsidRPr="00712B58">
        <w:rPr>
          <w:rFonts w:cs="Arial"/>
          <w:b/>
        </w:rPr>
        <w:t>Service</w:t>
      </w:r>
      <w:r>
        <w:rPr>
          <w:rFonts w:cs="Arial"/>
          <w:b/>
        </w:rPr>
        <w:t xml:space="preserve">s are </w:t>
      </w:r>
      <w:r w:rsidRPr="00712B58">
        <w:rPr>
          <w:rFonts w:cs="Arial"/>
          <w:b/>
        </w:rPr>
        <w:t>to be provided in accordance with the</w:t>
      </w:r>
      <w:r>
        <w:rPr>
          <w:rFonts w:cs="Arial"/>
          <w:b/>
        </w:rPr>
        <w:t xml:space="preserve"> following Practice Guideline and Service </w:t>
      </w:r>
      <w:r w:rsidR="0083121E">
        <w:rPr>
          <w:rFonts w:cs="Arial"/>
          <w:b/>
        </w:rPr>
        <w:t xml:space="preserve">Specification / </w:t>
      </w:r>
      <w:r w:rsidR="00A93F46">
        <w:rPr>
          <w:rFonts w:cs="Arial"/>
          <w:b/>
        </w:rPr>
        <w:t>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tblGrid>
      <w:tr w:rsidR="008B67BB" w:rsidRPr="000C5718" w:rsidTr="00D71A22">
        <w:tc>
          <w:tcPr>
            <w:tcW w:w="7054" w:type="dxa"/>
            <w:shd w:val="clear" w:color="auto" w:fill="auto"/>
          </w:tcPr>
          <w:p w:rsidR="008B67BB" w:rsidRPr="009E3708" w:rsidRDefault="0083121E" w:rsidP="00EA4E05">
            <w:pPr>
              <w:pStyle w:val="ListParagraph"/>
              <w:tabs>
                <w:tab w:val="left" w:pos="1276"/>
              </w:tabs>
              <w:spacing w:before="120"/>
              <w:ind w:left="0"/>
              <w:contextualSpacing w:val="0"/>
              <w:jc w:val="both"/>
              <w:rPr>
                <w:rFonts w:cs="Arial"/>
                <w:lang w:val="en-US"/>
              </w:rPr>
            </w:pPr>
            <w:r>
              <w:rPr>
                <w:rFonts w:ascii="Arial" w:hAnsi="Arial" w:cs="Arial"/>
              </w:rPr>
              <w:t xml:space="preserve">Income Related </w:t>
            </w:r>
            <w:r w:rsidR="00EA4E05">
              <w:rPr>
                <w:rFonts w:ascii="Arial" w:hAnsi="Arial" w:cs="Arial"/>
              </w:rPr>
              <w:t>R</w:t>
            </w:r>
            <w:r>
              <w:rPr>
                <w:rFonts w:ascii="Arial" w:hAnsi="Arial" w:cs="Arial"/>
              </w:rPr>
              <w:t>ent Subsidy Tenancy Service Specification</w:t>
            </w:r>
            <w:r w:rsidR="00F535C6">
              <w:rPr>
                <w:rFonts w:ascii="Arial" w:hAnsi="Arial" w:cs="Arial"/>
              </w:rPr>
              <w:t>s</w:t>
            </w:r>
          </w:p>
        </w:tc>
      </w:tr>
    </w:tbl>
    <w:p w:rsidR="008B67BB" w:rsidRPr="00622669" w:rsidRDefault="008B67BB" w:rsidP="008B67BB">
      <w:pPr>
        <w:spacing w:after="0"/>
        <w:rPr>
          <w:rFonts w:ascii="Arial" w:hAnsi="Arial" w:cs="Arial"/>
        </w:rPr>
        <w:sectPr w:rsidR="008B67BB" w:rsidRPr="00622669" w:rsidSect="00D71A22">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8" w:footer="708" w:gutter="0"/>
          <w:cols w:space="708"/>
          <w:docGrid w:linePitch="360"/>
        </w:sectPr>
      </w:pPr>
    </w:p>
    <w:p w:rsidR="008B67BB" w:rsidRDefault="008B67BB" w:rsidP="00B5357A"/>
    <w:p w:rsidR="008B67BB" w:rsidRDefault="008B67BB"/>
    <w:p w:rsidR="008B67BB" w:rsidRPr="009E3708" w:rsidRDefault="008B67BB" w:rsidP="008B67BB">
      <w:pPr>
        <w:jc w:val="center"/>
        <w:rPr>
          <w:rFonts w:ascii="Arial" w:hAnsi="Arial" w:cs="Arial"/>
          <w:b/>
          <w:sz w:val="28"/>
          <w:szCs w:val="28"/>
          <w:u w:val="single"/>
        </w:rPr>
      </w:pPr>
      <w:r w:rsidRPr="009E3708">
        <w:rPr>
          <w:rFonts w:ascii="Arial" w:hAnsi="Arial" w:cs="Arial"/>
          <w:b/>
          <w:sz w:val="28"/>
          <w:szCs w:val="28"/>
          <w:u w:val="single"/>
        </w:rPr>
        <w:t>Appendix 2 – Monitoring by the Purchasing Agency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3116"/>
        <w:gridCol w:w="3113"/>
      </w:tblGrid>
      <w:tr w:rsidR="008B67BB" w:rsidTr="00D71A22">
        <w:tc>
          <w:tcPr>
            <w:tcW w:w="2896" w:type="dxa"/>
            <w:tcBorders>
              <w:top w:val="single" w:sz="4" w:space="0" w:color="auto"/>
              <w:left w:val="single" w:sz="4" w:space="0" w:color="auto"/>
              <w:bottom w:val="single" w:sz="4" w:space="0" w:color="auto"/>
              <w:right w:val="single" w:sz="4" w:space="0" w:color="auto"/>
            </w:tcBorders>
          </w:tcPr>
          <w:p w:rsidR="008B67BB" w:rsidRDefault="008B67BB" w:rsidP="00D71A22">
            <w:pPr>
              <w:rPr>
                <w:rFonts w:ascii="Arial" w:hAnsi="Arial" w:cs="Arial"/>
                <w:b/>
              </w:rPr>
            </w:pPr>
            <w:r>
              <w:rPr>
                <w:rFonts w:ascii="Arial" w:hAnsi="Arial" w:cs="Arial"/>
                <w:b/>
              </w:rPr>
              <w:t>Services</w:t>
            </w:r>
          </w:p>
        </w:tc>
        <w:tc>
          <w:tcPr>
            <w:tcW w:w="3189" w:type="dxa"/>
            <w:tcBorders>
              <w:top w:val="single" w:sz="4" w:space="0" w:color="auto"/>
              <w:left w:val="single" w:sz="4" w:space="0" w:color="auto"/>
              <w:bottom w:val="single" w:sz="4" w:space="0" w:color="auto"/>
              <w:right w:val="single" w:sz="4" w:space="0" w:color="auto"/>
            </w:tcBorders>
            <w:hideMark/>
          </w:tcPr>
          <w:p w:rsidR="008B67BB" w:rsidRDefault="008B67BB" w:rsidP="00D71A22">
            <w:pPr>
              <w:rPr>
                <w:rFonts w:ascii="Arial" w:hAnsi="Arial" w:cs="Arial"/>
                <w:b/>
              </w:rPr>
            </w:pPr>
            <w:r>
              <w:rPr>
                <w:rFonts w:ascii="Arial" w:hAnsi="Arial" w:cs="Arial"/>
                <w:b/>
              </w:rPr>
              <w:t>Monitoring activity</w:t>
            </w:r>
          </w:p>
        </w:tc>
        <w:tc>
          <w:tcPr>
            <w:tcW w:w="3191" w:type="dxa"/>
            <w:tcBorders>
              <w:top w:val="single" w:sz="4" w:space="0" w:color="auto"/>
              <w:left w:val="single" w:sz="4" w:space="0" w:color="auto"/>
              <w:bottom w:val="single" w:sz="4" w:space="0" w:color="auto"/>
              <w:right w:val="single" w:sz="4" w:space="0" w:color="auto"/>
            </w:tcBorders>
            <w:hideMark/>
          </w:tcPr>
          <w:p w:rsidR="008B67BB" w:rsidRDefault="008B67BB" w:rsidP="00D71A22">
            <w:pPr>
              <w:rPr>
                <w:rFonts w:ascii="Arial" w:hAnsi="Arial" w:cs="Arial"/>
                <w:b/>
              </w:rPr>
            </w:pPr>
            <w:r>
              <w:rPr>
                <w:rFonts w:ascii="Arial" w:hAnsi="Arial" w:cs="Arial"/>
                <w:b/>
              </w:rPr>
              <w:t>Time and frequency of monitoring activity</w:t>
            </w:r>
          </w:p>
        </w:tc>
      </w:tr>
      <w:tr w:rsidR="008B67BB" w:rsidTr="00D71A22">
        <w:tc>
          <w:tcPr>
            <w:tcW w:w="2896" w:type="dxa"/>
            <w:tcBorders>
              <w:top w:val="single" w:sz="4" w:space="0" w:color="auto"/>
              <w:left w:val="single" w:sz="4" w:space="0" w:color="auto"/>
              <w:bottom w:val="single" w:sz="4" w:space="0" w:color="auto"/>
              <w:right w:val="single" w:sz="4" w:space="0" w:color="auto"/>
            </w:tcBorders>
          </w:tcPr>
          <w:p w:rsidR="008B67BB" w:rsidRPr="00F969AD" w:rsidRDefault="0083121E" w:rsidP="00D71A22">
            <w:pPr>
              <w:rPr>
                <w:rFonts w:ascii="Arial" w:hAnsi="Arial" w:cs="Arial"/>
              </w:rPr>
            </w:pPr>
            <w:r>
              <w:rPr>
                <w:rFonts w:ascii="Arial" w:hAnsi="Arial" w:cs="Arial"/>
              </w:rPr>
              <w:t>IRRS</w:t>
            </w:r>
          </w:p>
        </w:tc>
        <w:tc>
          <w:tcPr>
            <w:tcW w:w="3189" w:type="dxa"/>
            <w:tcBorders>
              <w:top w:val="single" w:sz="4" w:space="0" w:color="auto"/>
              <w:left w:val="single" w:sz="4" w:space="0" w:color="auto"/>
              <w:bottom w:val="single" w:sz="4" w:space="0" w:color="auto"/>
              <w:right w:val="single" w:sz="4" w:space="0" w:color="auto"/>
            </w:tcBorders>
          </w:tcPr>
          <w:p w:rsidR="008B67BB" w:rsidRPr="00F969AD" w:rsidRDefault="0083121E" w:rsidP="00D71A22">
            <w:pPr>
              <w:rPr>
                <w:rFonts w:ascii="Arial" w:hAnsi="Arial" w:cs="Arial"/>
              </w:rPr>
            </w:pPr>
            <w:r>
              <w:rPr>
                <w:rFonts w:ascii="Arial" w:hAnsi="Arial" w:cs="Arial"/>
              </w:rPr>
              <w:t>Verification of process</w:t>
            </w:r>
            <w:r w:rsidR="00A93F46">
              <w:rPr>
                <w:rFonts w:ascii="Arial" w:hAnsi="Arial" w:cs="Arial"/>
              </w:rPr>
              <w:t>es</w:t>
            </w:r>
            <w:r>
              <w:rPr>
                <w:rFonts w:ascii="Arial" w:hAnsi="Arial" w:cs="Arial"/>
              </w:rPr>
              <w:t xml:space="preserve"> being implemented as per contract</w:t>
            </w:r>
          </w:p>
        </w:tc>
        <w:tc>
          <w:tcPr>
            <w:tcW w:w="3191" w:type="dxa"/>
            <w:tcBorders>
              <w:top w:val="single" w:sz="4" w:space="0" w:color="auto"/>
              <w:left w:val="single" w:sz="4" w:space="0" w:color="auto"/>
              <w:bottom w:val="single" w:sz="4" w:space="0" w:color="auto"/>
              <w:right w:val="single" w:sz="4" w:space="0" w:color="auto"/>
            </w:tcBorders>
          </w:tcPr>
          <w:p w:rsidR="008B67BB" w:rsidRDefault="0083121E" w:rsidP="00D71A22">
            <w:pPr>
              <w:tabs>
                <w:tab w:val="left" w:pos="2300"/>
              </w:tabs>
              <w:ind w:right="124"/>
              <w:rPr>
                <w:rFonts w:ascii="Arial" w:hAnsi="Arial" w:cs="Arial"/>
              </w:rPr>
            </w:pPr>
            <w:r>
              <w:rPr>
                <w:rFonts w:ascii="Arial" w:hAnsi="Arial" w:cs="Arial"/>
              </w:rPr>
              <w:t>Quarterly</w:t>
            </w:r>
          </w:p>
          <w:p w:rsidR="0083121E" w:rsidRDefault="0083121E" w:rsidP="00D71A22">
            <w:pPr>
              <w:tabs>
                <w:tab w:val="left" w:pos="2300"/>
              </w:tabs>
              <w:ind w:right="124"/>
              <w:rPr>
                <w:rFonts w:ascii="Arial" w:hAnsi="Arial" w:cs="Arial"/>
              </w:rPr>
            </w:pPr>
            <w:r>
              <w:rPr>
                <w:rFonts w:ascii="Arial" w:hAnsi="Arial" w:cs="Arial"/>
              </w:rPr>
              <w:t>20 July</w:t>
            </w:r>
          </w:p>
          <w:p w:rsidR="0083121E" w:rsidRDefault="0083121E" w:rsidP="00D71A22">
            <w:pPr>
              <w:tabs>
                <w:tab w:val="left" w:pos="2300"/>
              </w:tabs>
              <w:ind w:right="124"/>
              <w:rPr>
                <w:rFonts w:ascii="Arial" w:hAnsi="Arial" w:cs="Arial"/>
              </w:rPr>
            </w:pPr>
            <w:r>
              <w:rPr>
                <w:rFonts w:ascii="Arial" w:hAnsi="Arial" w:cs="Arial"/>
              </w:rPr>
              <w:t>20 October</w:t>
            </w:r>
          </w:p>
          <w:p w:rsidR="0083121E" w:rsidRDefault="0083121E" w:rsidP="00D71A22">
            <w:pPr>
              <w:tabs>
                <w:tab w:val="left" w:pos="2300"/>
              </w:tabs>
              <w:ind w:right="124"/>
              <w:rPr>
                <w:rFonts w:ascii="Arial" w:hAnsi="Arial" w:cs="Arial"/>
              </w:rPr>
            </w:pPr>
            <w:r>
              <w:rPr>
                <w:rFonts w:ascii="Arial" w:hAnsi="Arial" w:cs="Arial"/>
              </w:rPr>
              <w:t>20 January</w:t>
            </w:r>
          </w:p>
          <w:p w:rsidR="0083121E" w:rsidRDefault="0083121E" w:rsidP="00D71A22">
            <w:pPr>
              <w:tabs>
                <w:tab w:val="left" w:pos="2300"/>
              </w:tabs>
              <w:ind w:right="124"/>
              <w:rPr>
                <w:rFonts w:ascii="Arial" w:hAnsi="Arial" w:cs="Arial"/>
              </w:rPr>
            </w:pPr>
            <w:r>
              <w:rPr>
                <w:rFonts w:ascii="Arial" w:hAnsi="Arial" w:cs="Arial"/>
              </w:rPr>
              <w:t>20 April</w:t>
            </w:r>
          </w:p>
          <w:p w:rsidR="0083121E" w:rsidRPr="00F969AD" w:rsidRDefault="0083121E" w:rsidP="00D71A22">
            <w:pPr>
              <w:tabs>
                <w:tab w:val="left" w:pos="2300"/>
              </w:tabs>
              <w:ind w:right="124"/>
              <w:rPr>
                <w:rFonts w:ascii="Arial" w:hAnsi="Arial" w:cs="Arial"/>
              </w:rPr>
            </w:pPr>
            <w:r>
              <w:rPr>
                <w:rFonts w:ascii="Arial" w:hAnsi="Arial" w:cs="Arial"/>
              </w:rPr>
              <w:t>or as otherwise agreed</w:t>
            </w:r>
          </w:p>
        </w:tc>
      </w:tr>
    </w:tbl>
    <w:p w:rsidR="008B67BB" w:rsidRPr="00F969AD" w:rsidRDefault="008B67BB" w:rsidP="008B67BB">
      <w:pPr>
        <w:rPr>
          <w:rFonts w:ascii="Arial" w:hAnsi="Arial" w:cs="Arial"/>
        </w:rPr>
      </w:pPr>
    </w:p>
    <w:p w:rsidR="008B67BB" w:rsidRPr="00F969AD" w:rsidRDefault="008B67BB" w:rsidP="008B67BB">
      <w:pPr>
        <w:rPr>
          <w:rFonts w:ascii="Arial" w:hAnsi="Arial" w:cs="Arial"/>
        </w:rPr>
      </w:pPr>
      <w:r w:rsidRPr="00F969AD">
        <w:rPr>
          <w:rFonts w:ascii="Arial" w:hAnsi="Arial" w:cs="Arial"/>
        </w:rPr>
        <w:t xml:space="preserve">The </w:t>
      </w:r>
      <w:r w:rsidR="00F535C6">
        <w:rPr>
          <w:rFonts w:ascii="Arial" w:hAnsi="Arial" w:cs="Arial"/>
        </w:rPr>
        <w:t>Purchasing Agency</w:t>
      </w:r>
      <w:r w:rsidRPr="00F969AD">
        <w:rPr>
          <w:rFonts w:ascii="Arial" w:hAnsi="Arial" w:cs="Arial"/>
        </w:rPr>
        <w:t xml:space="preserve"> shall give </w:t>
      </w:r>
      <w:r w:rsidRPr="00F969AD">
        <w:rPr>
          <w:rFonts w:ascii="Arial" w:hAnsi="Arial" w:cs="Arial"/>
        </w:rPr>
        <w:fldChar w:fldCharType="begin"/>
      </w:r>
      <w:r w:rsidRPr="00F969AD">
        <w:rPr>
          <w:rFonts w:ascii="Arial" w:hAnsi="Arial" w:cs="Arial"/>
        </w:rPr>
        <w:instrText xml:space="preserve"> DOCPROPERTY  Legal-Name  \* MERGEFORMAT </w:instrText>
      </w:r>
      <w:r w:rsidRPr="00F969AD">
        <w:rPr>
          <w:rFonts w:ascii="Arial" w:hAnsi="Arial" w:cs="Arial"/>
        </w:rPr>
        <w:fldChar w:fldCharType="separate"/>
      </w:r>
      <w:r w:rsidR="00193D09">
        <w:rPr>
          <w:rFonts w:ascii="Arial" w:hAnsi="Arial" w:cs="Arial"/>
        </w:rPr>
        <w:t>the</w:t>
      </w:r>
      <w:r w:rsidRPr="009E3708">
        <w:rPr>
          <w:rFonts w:ascii="Arial" w:hAnsi="Arial" w:cs="Arial"/>
          <w:highlight w:val="yellow"/>
        </w:rPr>
        <w:t xml:space="preserve"> </w:t>
      </w:r>
      <w:r w:rsidR="00F535C6">
        <w:rPr>
          <w:rFonts w:ascii="Arial" w:hAnsi="Arial" w:cs="Arial"/>
          <w:highlight w:val="yellow"/>
        </w:rPr>
        <w:t>P</w:t>
      </w:r>
      <w:r w:rsidRPr="009E3708">
        <w:rPr>
          <w:rFonts w:ascii="Arial" w:hAnsi="Arial" w:cs="Arial"/>
          <w:highlight w:val="yellow"/>
        </w:rPr>
        <w:t>rovider</w:t>
      </w:r>
      <w:r w:rsidRPr="00F969AD">
        <w:rPr>
          <w:rFonts w:ascii="Arial" w:hAnsi="Arial" w:cs="Arial"/>
        </w:rPr>
        <w:fldChar w:fldCharType="end"/>
      </w:r>
      <w:r w:rsidRPr="00F969AD">
        <w:rPr>
          <w:rFonts w:ascii="Arial" w:hAnsi="Arial" w:cs="Arial"/>
        </w:rPr>
        <w:t xml:space="preserve"> a written copy of the outcome of each Monitoring or Support visit once the report has been completed.</w:t>
      </w:r>
    </w:p>
    <w:p w:rsidR="008B67BB" w:rsidRDefault="008B67BB">
      <w:r>
        <w:br w:type="page"/>
      </w:r>
    </w:p>
    <w:p w:rsidR="008B67BB" w:rsidRDefault="008B67BB" w:rsidP="00B5357A">
      <w:pPr>
        <w:sectPr w:rsidR="008B67BB" w:rsidSect="008B67BB">
          <w:pgSz w:w="11906" w:h="16838"/>
          <w:pgMar w:top="1440" w:right="1440" w:bottom="1440" w:left="1440" w:header="709" w:footer="709" w:gutter="0"/>
          <w:cols w:space="708"/>
          <w:docGrid w:linePitch="360"/>
        </w:sectPr>
      </w:pPr>
    </w:p>
    <w:p w:rsidR="008B67BB" w:rsidRPr="009E3708" w:rsidRDefault="008B67BB" w:rsidP="008B67BB">
      <w:pPr>
        <w:jc w:val="center"/>
        <w:rPr>
          <w:rFonts w:ascii="Arial" w:hAnsi="Arial" w:cs="Arial"/>
          <w:b/>
          <w:sz w:val="28"/>
          <w:szCs w:val="28"/>
          <w:u w:val="single"/>
        </w:rPr>
      </w:pPr>
      <w:r w:rsidRPr="009E3708">
        <w:rPr>
          <w:rFonts w:ascii="Arial" w:hAnsi="Arial" w:cs="Arial"/>
          <w:b/>
          <w:sz w:val="28"/>
          <w:szCs w:val="28"/>
          <w:u w:val="single"/>
        </w:rPr>
        <w:lastRenderedPageBreak/>
        <w:t>Appendix 3 – Regular  reporting by the Provider</w:t>
      </w:r>
    </w:p>
    <w:p w:rsidR="008B67BB" w:rsidRDefault="008B67BB" w:rsidP="008B67BB">
      <w:pPr>
        <w:spacing w:after="0"/>
        <w:rPr>
          <w:rFonts w:ascii="Arial" w:hAnsi="Arial" w:cs="Arial"/>
        </w:rPr>
      </w:pPr>
      <w:r w:rsidRPr="00484F81">
        <w:rPr>
          <w:rFonts w:ascii="Arial" w:hAnsi="Arial" w:cs="Arial"/>
        </w:rPr>
        <w:t>All templates that are contained in Service Specifications / Service Guidelines</w:t>
      </w:r>
      <w:r>
        <w:rPr>
          <w:rFonts w:ascii="Arial" w:hAnsi="Arial" w:cs="Arial"/>
        </w:rPr>
        <w:t xml:space="preserve"> o</w:t>
      </w:r>
      <w:r w:rsidRPr="00484F81">
        <w:rPr>
          <w:rFonts w:ascii="Arial" w:hAnsi="Arial" w:cs="Arial"/>
        </w:rPr>
        <w:t xml:space="preserve">r Practice Guidelines </w:t>
      </w:r>
      <w:r w:rsidR="0083121E">
        <w:rPr>
          <w:rFonts w:ascii="Arial" w:hAnsi="Arial" w:cs="Arial"/>
        </w:rPr>
        <w:t xml:space="preserve">and </w:t>
      </w:r>
      <w:r w:rsidRPr="00484F81">
        <w:rPr>
          <w:rFonts w:ascii="Arial" w:hAnsi="Arial" w:cs="Arial"/>
        </w:rPr>
        <w:t>will be supplied electronically</w:t>
      </w:r>
      <w:r w:rsidR="00A93F46">
        <w:rPr>
          <w:rFonts w:ascii="Arial" w:hAnsi="Arial" w:cs="Arial"/>
        </w:rPr>
        <w:t>.</w:t>
      </w:r>
    </w:p>
    <w:p w:rsidR="008B67BB" w:rsidRDefault="008B67BB" w:rsidP="0083121E">
      <w:pPr>
        <w:spacing w:before="220" w:after="0"/>
        <w:ind w:left="720"/>
        <w:rPr>
          <w:rFonts w:ascii="Arial" w:hAnsi="Arial" w:cs="Arial"/>
        </w:rPr>
      </w:pPr>
      <w:r>
        <w:rPr>
          <w:rFonts w:ascii="Arial" w:hAnsi="Arial" w:cs="Arial"/>
        </w:rPr>
        <w:t xml:space="preserve"> </w:t>
      </w:r>
    </w:p>
    <w:tbl>
      <w:tblPr>
        <w:tblW w:w="4250" w:type="pct"/>
        <w:tblInd w:w="817" w:type="dxa"/>
        <w:tblLayout w:type="fixed"/>
        <w:tblLook w:val="01E0" w:firstRow="1" w:lastRow="1" w:firstColumn="1" w:lastColumn="1" w:noHBand="0" w:noVBand="0"/>
      </w:tblPr>
      <w:tblGrid>
        <w:gridCol w:w="1405"/>
        <w:gridCol w:w="2084"/>
        <w:gridCol w:w="2231"/>
        <w:gridCol w:w="1675"/>
        <w:gridCol w:w="2231"/>
        <w:gridCol w:w="2230"/>
      </w:tblGrid>
      <w:tr w:rsidR="00CB6284" w:rsidRPr="003B3B6F" w:rsidTr="009E7A39">
        <w:trPr>
          <w:gridAfter w:val="5"/>
          <w:wAfter w:w="10622" w:type="dxa"/>
          <w:tblHeader/>
        </w:trPr>
        <w:tc>
          <w:tcPr>
            <w:tcW w:w="1426" w:type="dxa"/>
            <w:tcBorders>
              <w:top w:val="single" w:sz="4" w:space="0" w:color="auto"/>
              <w:left w:val="single" w:sz="4" w:space="0" w:color="auto"/>
              <w:bottom w:val="single" w:sz="4" w:space="0" w:color="auto"/>
              <w:right w:val="single" w:sz="4" w:space="0" w:color="auto"/>
            </w:tcBorders>
            <w:shd w:val="pct12" w:color="auto" w:fill="auto"/>
          </w:tcPr>
          <w:p w:rsidR="00CB6284" w:rsidRPr="00737115" w:rsidRDefault="00CB6284" w:rsidP="00D71A22">
            <w:pPr>
              <w:spacing w:after="0"/>
              <w:jc w:val="center"/>
              <w:rPr>
                <w:rStyle w:val="Strong"/>
                <w:rFonts w:ascii="Arial" w:hAnsi="Arial" w:cs="Arial"/>
                <w:sz w:val="24"/>
                <w:szCs w:val="24"/>
              </w:rPr>
            </w:pPr>
          </w:p>
        </w:tc>
      </w:tr>
      <w:tr w:rsidR="00CB6284" w:rsidRPr="001C16E0" w:rsidTr="009E7A39">
        <w:trPr>
          <w:tblHeader/>
        </w:trPr>
        <w:tc>
          <w:tcPr>
            <w:tcW w:w="1426" w:type="dxa"/>
            <w:tcBorders>
              <w:top w:val="single" w:sz="4" w:space="0" w:color="auto"/>
              <w:left w:val="single" w:sz="4" w:space="0" w:color="auto"/>
              <w:bottom w:val="single" w:sz="4" w:space="0" w:color="auto"/>
              <w:right w:val="single" w:sz="4" w:space="0" w:color="auto"/>
            </w:tcBorders>
            <w:shd w:val="pct12" w:color="auto" w:fill="auto"/>
            <w:vAlign w:val="center"/>
          </w:tcPr>
          <w:p w:rsidR="00CB6284" w:rsidRPr="00737115" w:rsidRDefault="00CB6284" w:rsidP="00D71A22">
            <w:pPr>
              <w:spacing w:after="0"/>
              <w:jc w:val="center"/>
              <w:rPr>
                <w:rStyle w:val="Strong"/>
                <w:rFonts w:ascii="Arial" w:hAnsi="Arial" w:cs="Arial"/>
              </w:rPr>
            </w:pPr>
            <w:r w:rsidRPr="00737115">
              <w:rPr>
                <w:rStyle w:val="Strong"/>
                <w:rFonts w:ascii="Arial" w:hAnsi="Arial" w:cs="Arial"/>
              </w:rPr>
              <w:t>Reference</w:t>
            </w:r>
          </w:p>
        </w:tc>
        <w:tc>
          <w:tcPr>
            <w:tcW w:w="2118" w:type="dxa"/>
            <w:tcBorders>
              <w:top w:val="single" w:sz="4" w:space="0" w:color="auto"/>
              <w:left w:val="single" w:sz="4" w:space="0" w:color="auto"/>
              <w:bottom w:val="single" w:sz="4" w:space="0" w:color="auto"/>
              <w:right w:val="single" w:sz="4" w:space="0" w:color="auto"/>
            </w:tcBorders>
            <w:shd w:val="pct12" w:color="auto" w:fill="auto"/>
            <w:vAlign w:val="center"/>
          </w:tcPr>
          <w:p w:rsidR="00CB6284" w:rsidRPr="00737115" w:rsidRDefault="00CB6284" w:rsidP="00D71A22">
            <w:pPr>
              <w:spacing w:after="0"/>
              <w:jc w:val="center"/>
              <w:rPr>
                <w:rStyle w:val="Strong"/>
                <w:rFonts w:ascii="Arial" w:hAnsi="Arial" w:cs="Arial"/>
              </w:rPr>
            </w:pPr>
            <w:r w:rsidRPr="00737115">
              <w:rPr>
                <w:rStyle w:val="Strong"/>
                <w:rFonts w:ascii="Arial" w:hAnsi="Arial" w:cs="Arial"/>
              </w:rPr>
              <w:t>Service</w:t>
            </w:r>
          </w:p>
        </w:tc>
        <w:tc>
          <w:tcPr>
            <w:tcW w:w="2268" w:type="dxa"/>
            <w:tcBorders>
              <w:top w:val="single" w:sz="4" w:space="0" w:color="auto"/>
              <w:left w:val="single" w:sz="4" w:space="0" w:color="auto"/>
              <w:bottom w:val="single" w:sz="4" w:space="0" w:color="auto"/>
              <w:right w:val="single" w:sz="4" w:space="0" w:color="auto"/>
            </w:tcBorders>
            <w:shd w:val="pct12" w:color="auto" w:fill="auto"/>
          </w:tcPr>
          <w:p w:rsidR="00CB6284" w:rsidRPr="00737115" w:rsidRDefault="00CB6284" w:rsidP="00D71A22">
            <w:pPr>
              <w:spacing w:after="0"/>
              <w:jc w:val="center"/>
              <w:rPr>
                <w:rStyle w:val="Strong"/>
                <w:rFonts w:ascii="Arial" w:hAnsi="Arial" w:cs="Arial"/>
              </w:rPr>
            </w:pPr>
            <w:r w:rsidRPr="00737115">
              <w:rPr>
                <w:rStyle w:val="Strong"/>
                <w:rFonts w:ascii="Arial" w:hAnsi="Arial" w:cs="Arial"/>
              </w:rPr>
              <w:t>Additional Ministry Staff to receive Reports</w:t>
            </w:r>
          </w:p>
        </w:tc>
        <w:tc>
          <w:tcPr>
            <w:tcW w:w="1701" w:type="dxa"/>
            <w:tcBorders>
              <w:top w:val="single" w:sz="4" w:space="0" w:color="auto"/>
              <w:left w:val="single" w:sz="4" w:space="0" w:color="auto"/>
              <w:bottom w:val="single" w:sz="4" w:space="0" w:color="auto"/>
              <w:right w:val="single" w:sz="4" w:space="0" w:color="auto"/>
            </w:tcBorders>
            <w:shd w:val="pct12" w:color="auto" w:fill="auto"/>
            <w:tcMar>
              <w:top w:w="28" w:type="dxa"/>
              <w:bottom w:w="28" w:type="dxa"/>
            </w:tcMar>
            <w:vAlign w:val="center"/>
          </w:tcPr>
          <w:p w:rsidR="00CB6284" w:rsidRPr="00737115" w:rsidRDefault="00CB6284" w:rsidP="00D71A22">
            <w:pPr>
              <w:spacing w:after="0"/>
              <w:jc w:val="center"/>
              <w:rPr>
                <w:rStyle w:val="Strong"/>
                <w:rFonts w:ascii="Arial" w:hAnsi="Arial" w:cs="Arial"/>
              </w:rPr>
            </w:pPr>
            <w:r w:rsidRPr="00737115">
              <w:rPr>
                <w:rStyle w:val="Strong"/>
                <w:rFonts w:ascii="Arial" w:hAnsi="Arial" w:cs="Arial"/>
              </w:rPr>
              <w:t>Reporting Required</w:t>
            </w:r>
          </w:p>
        </w:tc>
        <w:tc>
          <w:tcPr>
            <w:tcW w:w="2268" w:type="dxa"/>
            <w:tcBorders>
              <w:top w:val="single" w:sz="4" w:space="0" w:color="auto"/>
              <w:left w:val="single" w:sz="4" w:space="0" w:color="auto"/>
              <w:bottom w:val="single" w:sz="4" w:space="0" w:color="auto"/>
              <w:right w:val="single" w:sz="4" w:space="0" w:color="auto"/>
            </w:tcBorders>
            <w:shd w:val="pct12" w:color="auto" w:fill="auto"/>
            <w:tcMar>
              <w:top w:w="28" w:type="dxa"/>
              <w:bottom w:w="28" w:type="dxa"/>
            </w:tcMar>
            <w:vAlign w:val="center"/>
          </w:tcPr>
          <w:p w:rsidR="00CB6284" w:rsidRPr="00737115" w:rsidRDefault="00CB6284" w:rsidP="00D71A22">
            <w:pPr>
              <w:spacing w:after="0"/>
              <w:jc w:val="center"/>
              <w:rPr>
                <w:rStyle w:val="Strong"/>
                <w:rFonts w:ascii="Arial" w:hAnsi="Arial" w:cs="Arial"/>
              </w:rPr>
            </w:pPr>
            <w:r w:rsidRPr="00737115">
              <w:rPr>
                <w:rStyle w:val="Strong"/>
                <w:rFonts w:ascii="Arial" w:hAnsi="Arial" w:cs="Arial"/>
              </w:rPr>
              <w:t>Date Due</w:t>
            </w:r>
          </w:p>
        </w:tc>
        <w:tc>
          <w:tcPr>
            <w:tcW w:w="2267" w:type="dxa"/>
            <w:tcBorders>
              <w:top w:val="single" w:sz="4" w:space="0" w:color="auto"/>
              <w:left w:val="single" w:sz="4" w:space="0" w:color="auto"/>
              <w:bottom w:val="single" w:sz="4" w:space="0" w:color="auto"/>
              <w:right w:val="single" w:sz="4" w:space="0" w:color="auto"/>
            </w:tcBorders>
            <w:shd w:val="pct12" w:color="auto" w:fill="auto"/>
            <w:tcMar>
              <w:top w:w="28" w:type="dxa"/>
              <w:bottom w:w="28" w:type="dxa"/>
            </w:tcMar>
            <w:vAlign w:val="center"/>
          </w:tcPr>
          <w:p w:rsidR="00CB6284" w:rsidRPr="00737115" w:rsidRDefault="00CB6284" w:rsidP="00D71A22">
            <w:pPr>
              <w:spacing w:after="0"/>
              <w:jc w:val="center"/>
              <w:rPr>
                <w:rStyle w:val="Strong"/>
                <w:rFonts w:ascii="Arial" w:hAnsi="Arial" w:cs="Arial"/>
              </w:rPr>
            </w:pPr>
            <w:r w:rsidRPr="00737115">
              <w:rPr>
                <w:rStyle w:val="Strong"/>
                <w:rFonts w:ascii="Arial" w:hAnsi="Arial" w:cs="Arial"/>
              </w:rPr>
              <w:t>Report Type</w:t>
            </w:r>
          </w:p>
        </w:tc>
      </w:tr>
      <w:tr w:rsidR="00CB6284" w:rsidRPr="001C16E0" w:rsidTr="009E7A39">
        <w:trPr>
          <w:tblHeader/>
        </w:trPr>
        <w:tc>
          <w:tcPr>
            <w:tcW w:w="1426" w:type="dxa"/>
            <w:vMerge w:val="restart"/>
            <w:tcBorders>
              <w:top w:val="single" w:sz="4" w:space="0" w:color="auto"/>
              <w:left w:val="single" w:sz="4" w:space="0" w:color="auto"/>
              <w:right w:val="single" w:sz="4" w:space="0" w:color="auto"/>
            </w:tcBorders>
            <w:shd w:val="clear" w:color="auto" w:fill="auto"/>
            <w:vAlign w:val="center"/>
          </w:tcPr>
          <w:p w:rsidR="00CB6284" w:rsidRPr="00737115" w:rsidRDefault="00CB6284" w:rsidP="00D71A22">
            <w:pPr>
              <w:spacing w:after="0"/>
              <w:jc w:val="center"/>
              <w:rPr>
                <w:rStyle w:val="Strong"/>
                <w:rFonts w:ascii="Arial" w:hAnsi="Arial" w:cs="Arial"/>
                <w:b w:val="0"/>
              </w:rPr>
            </w:pPr>
            <w:r w:rsidRPr="00737115">
              <w:rPr>
                <w:rStyle w:val="Strong"/>
                <w:rFonts w:ascii="Arial" w:hAnsi="Arial" w:cs="Arial"/>
                <w:b w:val="0"/>
              </w:rPr>
              <w:t>XXX</w:t>
            </w:r>
          </w:p>
        </w:tc>
        <w:tc>
          <w:tcPr>
            <w:tcW w:w="2118" w:type="dxa"/>
            <w:vMerge w:val="restart"/>
            <w:tcBorders>
              <w:top w:val="single" w:sz="4" w:space="0" w:color="auto"/>
              <w:left w:val="single" w:sz="4" w:space="0" w:color="auto"/>
              <w:right w:val="single" w:sz="4" w:space="0" w:color="auto"/>
            </w:tcBorders>
            <w:shd w:val="clear" w:color="auto" w:fill="auto"/>
            <w:vAlign w:val="center"/>
          </w:tcPr>
          <w:p w:rsidR="00CB6284" w:rsidRPr="00737115" w:rsidRDefault="00CB6284" w:rsidP="00F538D9">
            <w:pPr>
              <w:spacing w:after="0"/>
              <w:rPr>
                <w:rStyle w:val="Strong"/>
                <w:rFonts w:ascii="Arial" w:hAnsi="Arial" w:cs="Arial"/>
                <w:b w:val="0"/>
              </w:rPr>
            </w:pPr>
          </w:p>
          <w:p w:rsidR="00CB6284" w:rsidRPr="00737115" w:rsidRDefault="00CB6284" w:rsidP="00F538D9">
            <w:pPr>
              <w:spacing w:after="0"/>
              <w:rPr>
                <w:rStyle w:val="Strong"/>
                <w:rFonts w:ascii="Arial" w:hAnsi="Arial" w:cs="Arial"/>
                <w:b w:val="0"/>
              </w:rPr>
            </w:pPr>
            <w:r w:rsidRPr="00737115">
              <w:rPr>
                <w:rStyle w:val="Strong"/>
                <w:rFonts w:ascii="Arial" w:hAnsi="Arial" w:cs="Arial"/>
                <w:b w:val="0"/>
              </w:rPr>
              <w:t>IRRS</w:t>
            </w:r>
          </w:p>
          <w:p w:rsidR="00CB6284" w:rsidRPr="00737115" w:rsidRDefault="00CB6284" w:rsidP="00D71A22">
            <w:pPr>
              <w:spacing w:after="0"/>
              <w:jc w:val="center"/>
              <w:rPr>
                <w:rStyle w:val="Strong"/>
                <w:rFonts w:ascii="Arial" w:hAnsi="Arial" w:cs="Arial"/>
                <w:b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84" w:rsidRPr="00737115" w:rsidRDefault="00CB6284" w:rsidP="005A307A">
            <w:pPr>
              <w:spacing w:after="0"/>
              <w:jc w:val="center"/>
              <w:rPr>
                <w:rStyle w:val="Strong"/>
                <w:rFonts w:ascii="Arial" w:hAnsi="Arial" w:cs="Arial"/>
                <w:b w:val="0"/>
              </w:rPr>
            </w:pPr>
            <w:r w:rsidRPr="00737115">
              <w:rPr>
                <w:rStyle w:val="Strong"/>
                <w:rFonts w:ascii="Arial" w:hAnsi="Arial" w:cs="Arial"/>
                <w:b w:val="0"/>
              </w:rPr>
              <w:t>None. All reports to be sent to the specified MSD Contract Relationship Manager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B6284" w:rsidRPr="00737115" w:rsidRDefault="00CB6284" w:rsidP="00D71A22">
            <w:pPr>
              <w:spacing w:after="0"/>
              <w:jc w:val="center"/>
              <w:rPr>
                <w:rStyle w:val="Strong"/>
                <w:rFonts w:ascii="Arial" w:hAnsi="Arial" w:cs="Arial"/>
                <w:b w:val="0"/>
              </w:rPr>
            </w:pPr>
            <w:r w:rsidRPr="00737115">
              <w:rPr>
                <w:rStyle w:val="Strong"/>
                <w:rFonts w:ascii="Arial" w:hAnsi="Arial" w:cs="Arial"/>
                <w:b w:val="0"/>
              </w:rPr>
              <w:t>Fortnightly</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B6284" w:rsidRPr="00737115" w:rsidRDefault="003B3B6F" w:rsidP="003B3B6F">
            <w:pPr>
              <w:spacing w:after="0"/>
              <w:jc w:val="center"/>
              <w:rPr>
                <w:rStyle w:val="Strong"/>
                <w:rFonts w:ascii="Arial" w:hAnsi="Arial" w:cs="Arial"/>
                <w:b w:val="0"/>
              </w:rPr>
            </w:pPr>
            <w:r>
              <w:rPr>
                <w:rStyle w:val="Strong"/>
                <w:rFonts w:ascii="Arial" w:hAnsi="Arial" w:cs="Arial"/>
                <w:b w:val="0"/>
              </w:rPr>
              <w:t>Every second Monday</w:t>
            </w:r>
          </w:p>
        </w:tc>
        <w:tc>
          <w:tcPr>
            <w:tcW w:w="22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B6284" w:rsidRPr="00737115" w:rsidRDefault="00CB6284" w:rsidP="00D71A22">
            <w:pPr>
              <w:spacing w:after="0"/>
              <w:jc w:val="center"/>
              <w:rPr>
                <w:rStyle w:val="Strong"/>
                <w:rFonts w:ascii="Arial" w:hAnsi="Arial" w:cs="Arial"/>
                <w:b w:val="0"/>
              </w:rPr>
            </w:pPr>
            <w:r w:rsidRPr="00737115">
              <w:rPr>
                <w:rStyle w:val="Strong"/>
                <w:rFonts w:ascii="Arial" w:hAnsi="Arial" w:cs="Arial"/>
                <w:b w:val="0"/>
              </w:rPr>
              <w:t>IRSS Fortnightly Schedule  (Payment Report)</w:t>
            </w:r>
            <w:r w:rsidR="005E6776" w:rsidRPr="00737115">
              <w:rPr>
                <w:rStyle w:val="Strong"/>
                <w:rFonts w:ascii="Arial" w:hAnsi="Arial" w:cs="Arial"/>
                <w:b w:val="0"/>
              </w:rPr>
              <w:t xml:space="preserve"> as per Appendix 10</w:t>
            </w:r>
          </w:p>
        </w:tc>
      </w:tr>
      <w:tr w:rsidR="00CB6284" w:rsidRPr="001C16E0" w:rsidTr="009E7A39">
        <w:trPr>
          <w:tblHeader/>
        </w:trPr>
        <w:tc>
          <w:tcPr>
            <w:tcW w:w="1426" w:type="dxa"/>
            <w:vMerge/>
            <w:tcBorders>
              <w:left w:val="single" w:sz="4" w:space="0" w:color="auto"/>
              <w:bottom w:val="single" w:sz="4" w:space="0" w:color="auto"/>
              <w:right w:val="single" w:sz="4" w:space="0" w:color="auto"/>
            </w:tcBorders>
            <w:shd w:val="clear" w:color="auto" w:fill="auto"/>
            <w:vAlign w:val="center"/>
          </w:tcPr>
          <w:p w:rsidR="00CB6284" w:rsidRPr="00737115" w:rsidRDefault="00CB6284" w:rsidP="00D71A22">
            <w:pPr>
              <w:spacing w:after="0"/>
              <w:jc w:val="center"/>
              <w:rPr>
                <w:rStyle w:val="Strong"/>
                <w:rFonts w:ascii="Arial" w:hAnsi="Arial" w:cs="Arial"/>
              </w:rPr>
            </w:pPr>
          </w:p>
        </w:tc>
        <w:tc>
          <w:tcPr>
            <w:tcW w:w="2118" w:type="dxa"/>
            <w:vMerge/>
            <w:tcBorders>
              <w:left w:val="single" w:sz="4" w:space="0" w:color="auto"/>
              <w:bottom w:val="single" w:sz="4" w:space="0" w:color="auto"/>
              <w:right w:val="single" w:sz="4" w:space="0" w:color="auto"/>
            </w:tcBorders>
            <w:shd w:val="clear" w:color="auto" w:fill="auto"/>
            <w:vAlign w:val="center"/>
          </w:tcPr>
          <w:p w:rsidR="00CB6284" w:rsidRPr="00737115" w:rsidRDefault="00CB6284" w:rsidP="00D71A22">
            <w:pPr>
              <w:spacing w:after="0"/>
              <w:jc w:val="center"/>
              <w:rPr>
                <w:rStyle w:val="Strong"/>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84" w:rsidRPr="00737115" w:rsidRDefault="00CB6284" w:rsidP="00D71A22">
            <w:pPr>
              <w:spacing w:after="0"/>
              <w:jc w:val="center"/>
              <w:rPr>
                <w:rStyle w:val="Strong"/>
                <w:rFonts w:ascii="Arial" w:hAnsi="Arial" w:cs="Arial"/>
                <w:b w:val="0"/>
              </w:rPr>
            </w:pPr>
            <w:r w:rsidRPr="00737115">
              <w:rPr>
                <w:rStyle w:val="Strong"/>
                <w:rFonts w:ascii="Arial" w:hAnsi="Arial" w:cs="Arial"/>
                <w:b w:val="0"/>
              </w:rPr>
              <w:t>None. All reports to be sent to the specified MSD Contract Relationship Manager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B6284" w:rsidRPr="00737115" w:rsidRDefault="00CB6284" w:rsidP="00D71A22">
            <w:pPr>
              <w:spacing w:after="0"/>
              <w:jc w:val="center"/>
              <w:rPr>
                <w:rStyle w:val="Strong"/>
                <w:rFonts w:ascii="Arial" w:hAnsi="Arial" w:cs="Arial"/>
                <w:b w:val="0"/>
              </w:rPr>
            </w:pPr>
            <w:r w:rsidRPr="00737115">
              <w:rPr>
                <w:rStyle w:val="Strong"/>
                <w:rFonts w:ascii="Arial" w:hAnsi="Arial" w:cs="Arial"/>
                <w:b w:val="0"/>
              </w:rPr>
              <w:t>Quarterly</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B6284" w:rsidRPr="003B3B6F" w:rsidRDefault="00CB6284" w:rsidP="00A93F46">
            <w:pPr>
              <w:tabs>
                <w:tab w:val="left" w:pos="2300"/>
              </w:tabs>
              <w:ind w:right="124"/>
              <w:rPr>
                <w:rFonts w:ascii="Arial" w:hAnsi="Arial" w:cs="Arial"/>
              </w:rPr>
            </w:pPr>
            <w:r w:rsidRPr="003B3B6F">
              <w:rPr>
                <w:rFonts w:ascii="Arial" w:hAnsi="Arial" w:cs="Arial"/>
              </w:rPr>
              <w:t>10 July</w:t>
            </w:r>
          </w:p>
          <w:p w:rsidR="00CB6284" w:rsidRPr="00405870" w:rsidRDefault="00CB6284" w:rsidP="00A93F46">
            <w:pPr>
              <w:tabs>
                <w:tab w:val="left" w:pos="2300"/>
              </w:tabs>
              <w:ind w:right="124"/>
              <w:rPr>
                <w:rFonts w:ascii="Arial" w:hAnsi="Arial" w:cs="Arial"/>
              </w:rPr>
            </w:pPr>
            <w:r w:rsidRPr="00405870">
              <w:rPr>
                <w:rFonts w:ascii="Arial" w:hAnsi="Arial" w:cs="Arial"/>
              </w:rPr>
              <w:t>10 October</w:t>
            </w:r>
          </w:p>
          <w:p w:rsidR="00CB6284" w:rsidRPr="003B3B6F" w:rsidRDefault="00CB6284" w:rsidP="00A93F46">
            <w:pPr>
              <w:tabs>
                <w:tab w:val="left" w:pos="2300"/>
              </w:tabs>
              <w:ind w:right="124"/>
              <w:rPr>
                <w:rFonts w:ascii="Arial" w:hAnsi="Arial" w:cs="Arial"/>
              </w:rPr>
            </w:pPr>
            <w:r w:rsidRPr="00405870">
              <w:rPr>
                <w:rFonts w:ascii="Arial" w:hAnsi="Arial" w:cs="Arial"/>
              </w:rPr>
              <w:t>15 Janu</w:t>
            </w:r>
            <w:r w:rsidRPr="003B3B6F">
              <w:rPr>
                <w:rFonts w:ascii="Arial" w:hAnsi="Arial" w:cs="Arial"/>
              </w:rPr>
              <w:t>ary</w:t>
            </w:r>
          </w:p>
          <w:p w:rsidR="00CB6284" w:rsidRPr="003B3B6F" w:rsidRDefault="00CB6284" w:rsidP="00A93F46">
            <w:pPr>
              <w:tabs>
                <w:tab w:val="left" w:pos="2300"/>
              </w:tabs>
              <w:ind w:right="124"/>
              <w:rPr>
                <w:rFonts w:ascii="Arial" w:hAnsi="Arial" w:cs="Arial"/>
              </w:rPr>
            </w:pPr>
            <w:r w:rsidRPr="003B3B6F">
              <w:rPr>
                <w:rFonts w:ascii="Arial" w:hAnsi="Arial" w:cs="Arial"/>
              </w:rPr>
              <w:t>10 April</w:t>
            </w:r>
          </w:p>
          <w:p w:rsidR="00CB6284" w:rsidRPr="00737115" w:rsidRDefault="00CB6284" w:rsidP="00D71A22">
            <w:pPr>
              <w:spacing w:after="0"/>
              <w:jc w:val="center"/>
              <w:rPr>
                <w:rStyle w:val="Strong"/>
                <w:rFonts w:ascii="Arial" w:hAnsi="Arial" w:cs="Arial"/>
                <w:b w:val="0"/>
              </w:rPr>
            </w:pPr>
          </w:p>
        </w:tc>
        <w:tc>
          <w:tcPr>
            <w:tcW w:w="22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B6284" w:rsidRPr="00737115" w:rsidRDefault="00CB6284" w:rsidP="00D71A22">
            <w:pPr>
              <w:spacing w:after="0"/>
              <w:jc w:val="center"/>
              <w:rPr>
                <w:rStyle w:val="Strong"/>
                <w:rFonts w:ascii="Arial" w:hAnsi="Arial" w:cs="Arial"/>
                <w:b w:val="0"/>
              </w:rPr>
            </w:pPr>
            <w:r w:rsidRPr="00737115">
              <w:rPr>
                <w:rStyle w:val="Strong"/>
                <w:rFonts w:ascii="Arial" w:hAnsi="Arial" w:cs="Arial"/>
                <w:b w:val="0"/>
              </w:rPr>
              <w:t>Nar</w:t>
            </w:r>
            <w:r w:rsidR="005E6776" w:rsidRPr="00737115">
              <w:rPr>
                <w:rStyle w:val="Strong"/>
                <w:rFonts w:ascii="Arial" w:hAnsi="Arial" w:cs="Arial"/>
                <w:b w:val="0"/>
              </w:rPr>
              <w:t>rative Report as per Appendix 11</w:t>
            </w:r>
          </w:p>
        </w:tc>
      </w:tr>
    </w:tbl>
    <w:p w:rsidR="008B67BB" w:rsidRDefault="008B67BB" w:rsidP="00B5357A"/>
    <w:p w:rsidR="008B67BB" w:rsidRDefault="008B67BB">
      <w:r>
        <w:br w:type="page"/>
      </w:r>
    </w:p>
    <w:p w:rsidR="008B67BB" w:rsidRDefault="008B67BB" w:rsidP="00B5357A">
      <w:pPr>
        <w:sectPr w:rsidR="008B67BB" w:rsidSect="008B67BB">
          <w:pgSz w:w="16838" w:h="11906" w:orient="landscape"/>
          <w:pgMar w:top="1440" w:right="1440" w:bottom="1440" w:left="1440" w:header="709" w:footer="709" w:gutter="0"/>
          <w:cols w:space="708"/>
          <w:docGrid w:linePitch="360"/>
        </w:sectPr>
      </w:pPr>
    </w:p>
    <w:p w:rsidR="008B67BB" w:rsidRPr="009E3708" w:rsidRDefault="008B67BB" w:rsidP="008B67BB">
      <w:pPr>
        <w:jc w:val="center"/>
        <w:rPr>
          <w:rFonts w:ascii="Arial" w:hAnsi="Arial" w:cs="Arial"/>
          <w:b/>
          <w:sz w:val="28"/>
          <w:szCs w:val="28"/>
          <w:u w:val="single"/>
        </w:rPr>
      </w:pPr>
      <w:r w:rsidRPr="009E3708">
        <w:rPr>
          <w:rFonts w:ascii="Arial" w:hAnsi="Arial" w:cs="Arial"/>
          <w:b/>
          <w:sz w:val="28"/>
          <w:szCs w:val="28"/>
          <w:u w:val="single"/>
        </w:rPr>
        <w:lastRenderedPageBreak/>
        <w:t>Appendix 4 – Regular audits of the Provider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3755"/>
        <w:gridCol w:w="1603"/>
      </w:tblGrid>
      <w:tr w:rsidR="008B67BB" w:rsidTr="00D71A22">
        <w:tc>
          <w:tcPr>
            <w:tcW w:w="3786" w:type="dxa"/>
            <w:tcBorders>
              <w:top w:val="single" w:sz="4" w:space="0" w:color="auto"/>
              <w:left w:val="single" w:sz="4" w:space="0" w:color="auto"/>
              <w:bottom w:val="single" w:sz="4" w:space="0" w:color="auto"/>
              <w:right w:val="single" w:sz="4" w:space="0" w:color="auto"/>
            </w:tcBorders>
            <w:hideMark/>
          </w:tcPr>
          <w:p w:rsidR="008B67BB" w:rsidRDefault="008B67BB" w:rsidP="00D71A22">
            <w:pPr>
              <w:rPr>
                <w:rFonts w:ascii="Arial" w:hAnsi="Arial" w:cs="Arial"/>
                <w:b/>
              </w:rPr>
            </w:pPr>
            <w:r>
              <w:rPr>
                <w:rFonts w:ascii="Arial" w:hAnsi="Arial" w:cs="Arial"/>
                <w:b/>
              </w:rPr>
              <w:t>Audit and corresponding legal requirement</w:t>
            </w:r>
          </w:p>
        </w:tc>
        <w:tc>
          <w:tcPr>
            <w:tcW w:w="3869" w:type="dxa"/>
            <w:tcBorders>
              <w:top w:val="single" w:sz="4" w:space="0" w:color="auto"/>
              <w:left w:val="single" w:sz="4" w:space="0" w:color="auto"/>
              <w:bottom w:val="single" w:sz="4" w:space="0" w:color="auto"/>
              <w:right w:val="single" w:sz="4" w:space="0" w:color="auto"/>
            </w:tcBorders>
            <w:hideMark/>
          </w:tcPr>
          <w:p w:rsidR="008B67BB" w:rsidRDefault="008B67BB" w:rsidP="00D71A22">
            <w:pPr>
              <w:rPr>
                <w:rFonts w:ascii="Arial" w:hAnsi="Arial" w:cs="Arial"/>
                <w:b/>
              </w:rPr>
            </w:pPr>
            <w:r>
              <w:rPr>
                <w:rFonts w:ascii="Arial" w:hAnsi="Arial" w:cs="Arial"/>
                <w:b/>
              </w:rPr>
              <w:t>Anticipated timeframe for conducting the audit</w:t>
            </w:r>
          </w:p>
        </w:tc>
        <w:tc>
          <w:tcPr>
            <w:tcW w:w="1621" w:type="dxa"/>
            <w:tcBorders>
              <w:top w:val="single" w:sz="4" w:space="0" w:color="auto"/>
              <w:left w:val="single" w:sz="4" w:space="0" w:color="auto"/>
              <w:bottom w:val="single" w:sz="4" w:space="0" w:color="auto"/>
              <w:right w:val="single" w:sz="4" w:space="0" w:color="auto"/>
            </w:tcBorders>
            <w:hideMark/>
          </w:tcPr>
          <w:p w:rsidR="008B67BB" w:rsidRDefault="008B67BB" w:rsidP="00D71A22">
            <w:pPr>
              <w:rPr>
                <w:rFonts w:ascii="Arial" w:hAnsi="Arial" w:cs="Arial"/>
                <w:b/>
              </w:rPr>
            </w:pPr>
            <w:r w:rsidRPr="009915DB">
              <w:rPr>
                <w:rFonts w:ascii="Arial" w:hAnsi="Arial" w:cs="Arial"/>
                <w:b/>
                <w:sz w:val="16"/>
                <w:szCs w:val="16"/>
              </w:rPr>
              <w:t>Purchasing Agency (if more than one)</w:t>
            </w:r>
          </w:p>
        </w:tc>
      </w:tr>
      <w:tr w:rsidR="008B67BB" w:rsidTr="00D71A22">
        <w:tc>
          <w:tcPr>
            <w:tcW w:w="3786" w:type="dxa"/>
            <w:tcBorders>
              <w:top w:val="single" w:sz="4" w:space="0" w:color="auto"/>
              <w:left w:val="single" w:sz="4" w:space="0" w:color="auto"/>
              <w:bottom w:val="single" w:sz="4" w:space="0" w:color="auto"/>
              <w:right w:val="single" w:sz="4" w:space="0" w:color="auto"/>
            </w:tcBorders>
          </w:tcPr>
          <w:p w:rsidR="008B67BB" w:rsidRDefault="006B5C3F" w:rsidP="00387B01">
            <w:pPr>
              <w:rPr>
                <w:rFonts w:ascii="Arial" w:hAnsi="Arial" w:cs="Arial"/>
              </w:rPr>
            </w:pPr>
            <w:r>
              <w:rPr>
                <w:rFonts w:ascii="Arial" w:hAnsi="Arial" w:cs="Arial"/>
              </w:rPr>
              <w:t xml:space="preserve">Maintain registration </w:t>
            </w:r>
            <w:r w:rsidR="00387B01" w:rsidRPr="00CB5D1D">
              <w:rPr>
                <w:rFonts w:ascii="Arial" w:hAnsi="Arial" w:cs="Arial"/>
              </w:rPr>
              <w:t>as a Class 1 Social Landlord</w:t>
            </w:r>
            <w:r w:rsidR="002C1A21">
              <w:rPr>
                <w:rFonts w:ascii="Arial" w:hAnsi="Arial" w:cs="Arial"/>
              </w:rPr>
              <w:t xml:space="preserve"> </w:t>
            </w:r>
            <w:r>
              <w:rPr>
                <w:rFonts w:ascii="Arial" w:hAnsi="Arial" w:cs="Arial"/>
              </w:rPr>
              <w:t xml:space="preserve">under </w:t>
            </w:r>
            <w:r w:rsidR="002C1A21">
              <w:rPr>
                <w:rFonts w:ascii="Arial" w:hAnsi="Arial" w:cs="Arial"/>
              </w:rPr>
              <w:t xml:space="preserve">the </w:t>
            </w:r>
            <w:r>
              <w:rPr>
                <w:rFonts w:ascii="Arial" w:hAnsi="Arial" w:cs="Arial"/>
              </w:rPr>
              <w:t>regulations</w:t>
            </w:r>
            <w:r w:rsidR="002C1A21">
              <w:rPr>
                <w:rFonts w:ascii="Arial" w:hAnsi="Arial" w:cs="Arial"/>
              </w:rPr>
              <w:t xml:space="preserve"> authorised by Social Housing Reform Act </w:t>
            </w:r>
            <w:r w:rsidR="00AE1F49">
              <w:rPr>
                <w:rFonts w:ascii="Arial" w:hAnsi="Arial" w:cs="Arial"/>
              </w:rPr>
              <w:t xml:space="preserve">2013 </w:t>
            </w:r>
            <w:r w:rsidR="00A93F46">
              <w:rPr>
                <w:rFonts w:ascii="Arial" w:hAnsi="Arial" w:cs="Arial"/>
              </w:rPr>
              <w:t>Carried out by Regulatory Authority</w:t>
            </w:r>
          </w:p>
        </w:tc>
        <w:tc>
          <w:tcPr>
            <w:tcW w:w="3869" w:type="dxa"/>
            <w:tcBorders>
              <w:top w:val="single" w:sz="4" w:space="0" w:color="auto"/>
              <w:left w:val="single" w:sz="4" w:space="0" w:color="auto"/>
              <w:bottom w:val="single" w:sz="4" w:space="0" w:color="auto"/>
              <w:right w:val="single" w:sz="4" w:space="0" w:color="auto"/>
            </w:tcBorders>
          </w:tcPr>
          <w:p w:rsidR="008B67BB" w:rsidRDefault="00CB6284" w:rsidP="00CB6284">
            <w:pPr>
              <w:rPr>
                <w:rFonts w:ascii="Arial" w:hAnsi="Arial" w:cs="Arial"/>
              </w:rPr>
            </w:pPr>
            <w:r>
              <w:rPr>
                <w:rFonts w:ascii="Arial" w:hAnsi="Arial" w:cs="Arial"/>
              </w:rPr>
              <w:t>Regulator will advise the purchasing agency of any changes in Class 1 Social landlord Registration status</w:t>
            </w:r>
          </w:p>
        </w:tc>
        <w:tc>
          <w:tcPr>
            <w:tcW w:w="1621" w:type="dxa"/>
            <w:tcBorders>
              <w:top w:val="single" w:sz="4" w:space="0" w:color="auto"/>
              <w:left w:val="single" w:sz="4" w:space="0" w:color="auto"/>
              <w:bottom w:val="single" w:sz="4" w:space="0" w:color="auto"/>
              <w:right w:val="single" w:sz="4" w:space="0" w:color="auto"/>
            </w:tcBorders>
          </w:tcPr>
          <w:p w:rsidR="008B67BB" w:rsidRDefault="00A93F46" w:rsidP="005A307A">
            <w:pPr>
              <w:rPr>
                <w:rFonts w:ascii="Arial" w:hAnsi="Arial" w:cs="Arial"/>
              </w:rPr>
            </w:pPr>
            <w:r>
              <w:rPr>
                <w:rFonts w:ascii="Arial" w:hAnsi="Arial" w:cs="Arial"/>
              </w:rPr>
              <w:t>N</w:t>
            </w:r>
            <w:r w:rsidR="005A307A">
              <w:rPr>
                <w:rFonts w:ascii="Arial" w:hAnsi="Arial" w:cs="Arial"/>
              </w:rPr>
              <w:t xml:space="preserve">ot  </w:t>
            </w:r>
            <w:r>
              <w:rPr>
                <w:rFonts w:ascii="Arial" w:hAnsi="Arial" w:cs="Arial"/>
              </w:rPr>
              <w:t>A</w:t>
            </w:r>
            <w:r w:rsidR="005A307A">
              <w:rPr>
                <w:rFonts w:ascii="Arial" w:hAnsi="Arial" w:cs="Arial"/>
              </w:rPr>
              <w:t>pplicable</w:t>
            </w:r>
          </w:p>
        </w:tc>
      </w:tr>
    </w:tbl>
    <w:p w:rsidR="008B67BB" w:rsidRDefault="008B67BB" w:rsidP="00B5357A"/>
    <w:p w:rsidR="008B67BB" w:rsidRDefault="008B67BB">
      <w:r>
        <w:br w:type="page"/>
      </w:r>
    </w:p>
    <w:p w:rsidR="008B67BB" w:rsidRPr="009E3708" w:rsidRDefault="008B67BB" w:rsidP="008B67BB">
      <w:pPr>
        <w:jc w:val="center"/>
        <w:rPr>
          <w:rFonts w:ascii="Arial" w:hAnsi="Arial" w:cs="Arial"/>
          <w:b/>
          <w:sz w:val="28"/>
          <w:szCs w:val="28"/>
          <w:u w:val="single"/>
        </w:rPr>
      </w:pPr>
      <w:r w:rsidRPr="009E3708">
        <w:rPr>
          <w:rFonts w:ascii="Arial" w:hAnsi="Arial" w:cs="Arial"/>
          <w:b/>
          <w:sz w:val="28"/>
          <w:szCs w:val="28"/>
          <w:u w:val="single"/>
        </w:rPr>
        <w:lastRenderedPageBreak/>
        <w:t>Appendix 5 –Payment for Services</w:t>
      </w:r>
    </w:p>
    <w:p w:rsidR="008B67BB" w:rsidRPr="00AA3F37" w:rsidRDefault="00131385" w:rsidP="00AA3F37">
      <w:pPr>
        <w:rPr>
          <w:rStyle w:val="Strong"/>
          <w:b w:val="0"/>
          <w:bCs w:val="0"/>
        </w:rPr>
      </w:pPr>
      <w:r>
        <w:rPr>
          <w:rFonts w:ascii="Arial" w:hAnsi="Arial" w:cs="Arial"/>
          <w:b/>
          <w:sz w:val="28"/>
          <w:szCs w:val="28"/>
        </w:rPr>
        <w:t>Table 5</w:t>
      </w:r>
      <w:r w:rsidR="008B67BB">
        <w:rPr>
          <w:rFonts w:ascii="Arial" w:hAnsi="Arial" w:cs="Arial"/>
          <w:b/>
          <w:sz w:val="28"/>
          <w:szCs w:val="28"/>
        </w:rPr>
        <w:t xml:space="preserve"> Payment Table</w:t>
      </w:r>
    </w:p>
    <w:p w:rsidR="0028131B" w:rsidRDefault="008B67BB" w:rsidP="00131385">
      <w:pPr>
        <w:spacing w:before="120" w:after="120" w:line="256" w:lineRule="auto"/>
        <w:rPr>
          <w:rFonts w:ascii="Arial" w:hAnsi="Arial" w:cs="Arial"/>
        </w:rPr>
      </w:pPr>
      <w:r>
        <w:rPr>
          <w:rFonts w:ascii="Arial" w:hAnsi="Arial" w:cs="Arial"/>
        </w:rPr>
        <w:t>P</w:t>
      </w:r>
      <w:r w:rsidRPr="005E4C65">
        <w:rPr>
          <w:rFonts w:ascii="Arial" w:hAnsi="Arial" w:cs="Arial"/>
        </w:rPr>
        <w:t xml:space="preserve">ayments as set out in </w:t>
      </w:r>
      <w:r>
        <w:rPr>
          <w:rFonts w:ascii="Arial" w:hAnsi="Arial" w:cs="Arial"/>
        </w:rPr>
        <w:t>the table</w:t>
      </w:r>
      <w:r w:rsidRPr="005E4C65">
        <w:rPr>
          <w:rFonts w:ascii="Arial" w:hAnsi="Arial" w:cs="Arial"/>
        </w:rPr>
        <w:t xml:space="preserve"> below.</w:t>
      </w:r>
    </w:p>
    <w:p w:rsidR="008B67BB" w:rsidRDefault="0028131B" w:rsidP="00131385">
      <w:pPr>
        <w:spacing w:before="120" w:after="120" w:line="256" w:lineRule="auto"/>
        <w:rPr>
          <w:rFonts w:ascii="Arial" w:hAnsi="Arial" w:cs="Arial"/>
        </w:rPr>
      </w:pPr>
      <w:r w:rsidRPr="0028131B">
        <w:rPr>
          <w:rFonts w:ascii="Arial" w:hAnsi="Arial" w:cs="Arial"/>
        </w:rPr>
        <w:t>All funding amounts in this agreement are stated exclusive of GST and are payable, on receipt of an appropriate invoice, subject to the terms and conditions of this agreement. Providers cannot submit GST invoices for IRRS. This is because GST is within the claim value of the Income Related Rent Subsidy</w:t>
      </w:r>
      <w:r w:rsidR="008B67BB" w:rsidRPr="005E4C65">
        <w:rPr>
          <w:rFonts w:ascii="Arial" w:hAnsi="Arial" w:cs="Arial"/>
        </w:rPr>
        <w:t xml:space="preserve"> </w:t>
      </w:r>
    </w:p>
    <w:tbl>
      <w:tblPr>
        <w:tblW w:w="4828" w:type="pct"/>
        <w:tblInd w:w="250" w:type="dxa"/>
        <w:tblLook w:val="01E0" w:firstRow="1" w:lastRow="1" w:firstColumn="1" w:lastColumn="1" w:noHBand="0" w:noVBand="0"/>
      </w:tblPr>
      <w:tblGrid>
        <w:gridCol w:w="1401"/>
        <w:gridCol w:w="3407"/>
        <w:gridCol w:w="1846"/>
        <w:gridCol w:w="2052"/>
      </w:tblGrid>
      <w:tr w:rsidR="00AA3F37" w:rsidRPr="001B3900" w:rsidTr="004F3892">
        <w:trPr>
          <w:trHeight w:val="917"/>
          <w:tblHeader/>
        </w:trPr>
        <w:tc>
          <w:tcPr>
            <w:tcW w:w="1418" w:type="dxa"/>
            <w:tcBorders>
              <w:top w:val="single" w:sz="4" w:space="0" w:color="auto"/>
              <w:left w:val="single" w:sz="4" w:space="0" w:color="auto"/>
              <w:bottom w:val="single" w:sz="4" w:space="0" w:color="auto"/>
              <w:right w:val="single" w:sz="4" w:space="0" w:color="auto"/>
            </w:tcBorders>
            <w:shd w:val="pct12" w:color="auto" w:fill="auto"/>
            <w:tcMar>
              <w:top w:w="28" w:type="dxa"/>
              <w:bottom w:w="28" w:type="dxa"/>
            </w:tcMar>
            <w:vAlign w:val="center"/>
          </w:tcPr>
          <w:p w:rsidR="00AA3F37" w:rsidRPr="001B3900" w:rsidRDefault="00AA3F37" w:rsidP="004F3892">
            <w:pPr>
              <w:tabs>
                <w:tab w:val="left" w:pos="720"/>
                <w:tab w:val="left" w:pos="1440"/>
                <w:tab w:val="right" w:leader="underscore" w:pos="4860"/>
                <w:tab w:val="right" w:pos="5040"/>
                <w:tab w:val="right" w:leader="underscore" w:pos="6480"/>
                <w:tab w:val="left" w:pos="6660"/>
              </w:tabs>
              <w:jc w:val="center"/>
              <w:rPr>
                <w:rStyle w:val="Strong"/>
                <w:rFonts w:ascii="Arial" w:hAnsi="Arial" w:cs="Arial"/>
              </w:rPr>
            </w:pPr>
            <w:r w:rsidRPr="001B3900">
              <w:rPr>
                <w:rStyle w:val="Strong"/>
                <w:rFonts w:ascii="Arial" w:hAnsi="Arial" w:cs="Arial"/>
              </w:rPr>
              <w:t>Payment Number</w:t>
            </w:r>
          </w:p>
        </w:tc>
        <w:tc>
          <w:tcPr>
            <w:tcW w:w="3543" w:type="dxa"/>
            <w:tcBorders>
              <w:top w:val="single" w:sz="4" w:space="0" w:color="auto"/>
              <w:left w:val="single" w:sz="4" w:space="0" w:color="auto"/>
              <w:bottom w:val="single" w:sz="4" w:space="0" w:color="auto"/>
              <w:right w:val="single" w:sz="4" w:space="0" w:color="auto"/>
            </w:tcBorders>
            <w:shd w:val="pct12" w:color="auto" w:fill="auto"/>
            <w:tcMar>
              <w:top w:w="28" w:type="dxa"/>
              <w:bottom w:w="28" w:type="dxa"/>
            </w:tcMar>
            <w:vAlign w:val="center"/>
          </w:tcPr>
          <w:p w:rsidR="00AA3F37" w:rsidRPr="001B3900" w:rsidRDefault="00AA3F37" w:rsidP="004F3892">
            <w:pPr>
              <w:tabs>
                <w:tab w:val="left" w:pos="720"/>
                <w:tab w:val="left" w:pos="1440"/>
                <w:tab w:val="right" w:leader="underscore" w:pos="4860"/>
                <w:tab w:val="right" w:pos="5040"/>
                <w:tab w:val="right" w:leader="underscore" w:pos="6480"/>
                <w:tab w:val="left" w:pos="6660"/>
              </w:tabs>
              <w:jc w:val="center"/>
              <w:rPr>
                <w:rStyle w:val="Strong"/>
                <w:rFonts w:ascii="Arial" w:hAnsi="Arial" w:cs="Arial"/>
              </w:rPr>
            </w:pPr>
            <w:r w:rsidRPr="001B3900">
              <w:rPr>
                <w:rStyle w:val="Strong"/>
                <w:rFonts w:ascii="Arial" w:hAnsi="Arial" w:cs="Arial"/>
              </w:rPr>
              <w:t>Reference Details</w:t>
            </w:r>
          </w:p>
        </w:tc>
        <w:tc>
          <w:tcPr>
            <w:tcW w:w="1873" w:type="dxa"/>
            <w:tcBorders>
              <w:top w:val="single" w:sz="4" w:space="0" w:color="auto"/>
              <w:left w:val="single" w:sz="4" w:space="0" w:color="auto"/>
              <w:bottom w:val="single" w:sz="4" w:space="0" w:color="auto"/>
              <w:right w:val="single" w:sz="4" w:space="0" w:color="auto"/>
            </w:tcBorders>
            <w:shd w:val="pct12" w:color="auto" w:fill="auto"/>
            <w:tcMar>
              <w:top w:w="28" w:type="dxa"/>
              <w:bottom w:w="28" w:type="dxa"/>
            </w:tcMar>
            <w:vAlign w:val="center"/>
          </w:tcPr>
          <w:p w:rsidR="00AA3F37" w:rsidRPr="001B3900" w:rsidRDefault="00AA3F37" w:rsidP="004F3892">
            <w:pPr>
              <w:tabs>
                <w:tab w:val="left" w:pos="720"/>
                <w:tab w:val="left" w:pos="1440"/>
                <w:tab w:val="right" w:leader="underscore" w:pos="4860"/>
                <w:tab w:val="right" w:pos="5040"/>
                <w:tab w:val="right" w:leader="underscore" w:pos="6480"/>
                <w:tab w:val="left" w:pos="6660"/>
              </w:tabs>
              <w:jc w:val="center"/>
              <w:rPr>
                <w:rStyle w:val="Strong"/>
                <w:rFonts w:ascii="Arial" w:hAnsi="Arial" w:cs="Arial"/>
              </w:rPr>
            </w:pPr>
            <w:r w:rsidRPr="001B3900">
              <w:rPr>
                <w:rStyle w:val="Strong"/>
                <w:rFonts w:ascii="Arial" w:hAnsi="Arial" w:cs="Arial"/>
              </w:rPr>
              <w:t>Payment Date</w:t>
            </w:r>
          </w:p>
        </w:tc>
        <w:tc>
          <w:tcPr>
            <w:tcW w:w="2090" w:type="dxa"/>
            <w:tcBorders>
              <w:top w:val="single" w:sz="4" w:space="0" w:color="auto"/>
              <w:left w:val="single" w:sz="4" w:space="0" w:color="auto"/>
              <w:bottom w:val="single" w:sz="4" w:space="0" w:color="auto"/>
              <w:right w:val="single" w:sz="4" w:space="0" w:color="auto"/>
            </w:tcBorders>
            <w:shd w:val="pct12" w:color="auto" w:fill="auto"/>
            <w:tcMar>
              <w:top w:w="28" w:type="dxa"/>
              <w:bottom w:w="28" w:type="dxa"/>
            </w:tcMar>
            <w:vAlign w:val="center"/>
          </w:tcPr>
          <w:p w:rsidR="00AA3F37" w:rsidRPr="001B3900" w:rsidRDefault="00AA3F37" w:rsidP="004F3892">
            <w:pPr>
              <w:tabs>
                <w:tab w:val="left" w:pos="720"/>
                <w:tab w:val="left" w:pos="1440"/>
                <w:tab w:val="right" w:leader="underscore" w:pos="4860"/>
                <w:tab w:val="right" w:pos="5040"/>
                <w:tab w:val="right" w:leader="underscore" w:pos="6480"/>
                <w:tab w:val="left" w:pos="6660"/>
              </w:tabs>
              <w:jc w:val="center"/>
              <w:rPr>
                <w:rStyle w:val="Strong"/>
                <w:rFonts w:ascii="Arial" w:hAnsi="Arial" w:cs="Arial"/>
              </w:rPr>
            </w:pPr>
            <w:r w:rsidRPr="001B3900">
              <w:rPr>
                <w:rStyle w:val="Strong"/>
                <w:rFonts w:ascii="Arial" w:hAnsi="Arial" w:cs="Arial"/>
              </w:rPr>
              <w:t>Instalment Amount</w:t>
            </w:r>
          </w:p>
        </w:tc>
      </w:tr>
      <w:tr w:rsidR="00AA3F37" w:rsidRPr="001B3900" w:rsidTr="004F3892">
        <w:tc>
          <w:tcPr>
            <w:tcW w:w="141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A3F37" w:rsidRPr="001B3900" w:rsidRDefault="00C70EE3" w:rsidP="00C70EE3">
            <w:pPr>
              <w:tabs>
                <w:tab w:val="left" w:pos="2300"/>
              </w:tabs>
              <w:ind w:right="124"/>
              <w:jc w:val="center"/>
              <w:rPr>
                <w:rFonts w:ascii="Arial" w:hAnsi="Arial" w:cs="Arial"/>
              </w:rPr>
            </w:pPr>
            <w:r>
              <w:rPr>
                <w:rFonts w:ascii="Arial" w:hAnsi="Arial" w:cs="Arial"/>
              </w:rPr>
              <w:t>N/A</w:t>
            </w:r>
          </w:p>
        </w:tc>
        <w:tc>
          <w:tcPr>
            <w:tcW w:w="354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A3F37" w:rsidRPr="001B3900" w:rsidRDefault="00AA3F37" w:rsidP="004F3892">
            <w:pPr>
              <w:tabs>
                <w:tab w:val="left" w:pos="2300"/>
              </w:tabs>
              <w:ind w:right="124"/>
              <w:jc w:val="center"/>
              <w:rPr>
                <w:rFonts w:ascii="Arial" w:hAnsi="Arial" w:cs="Arial"/>
              </w:rPr>
            </w:pPr>
            <w:r>
              <w:rPr>
                <w:rStyle w:val="Strong"/>
                <w:rFonts w:ascii="Arial" w:hAnsi="Arial" w:cs="Arial"/>
                <w:b w:val="0"/>
              </w:rPr>
              <w:t>IRRS</w:t>
            </w:r>
          </w:p>
        </w:tc>
        <w:tc>
          <w:tcPr>
            <w:tcW w:w="187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A3F37" w:rsidRPr="001B3900" w:rsidRDefault="00AA3F37" w:rsidP="00CB6284">
            <w:pPr>
              <w:tabs>
                <w:tab w:val="left" w:pos="2300"/>
              </w:tabs>
              <w:ind w:right="124"/>
              <w:jc w:val="center"/>
              <w:rPr>
                <w:rFonts w:ascii="Arial" w:hAnsi="Arial" w:cs="Arial"/>
              </w:rPr>
            </w:pPr>
            <w:r>
              <w:rPr>
                <w:rStyle w:val="Strong"/>
                <w:rFonts w:ascii="Arial" w:hAnsi="Arial" w:cs="Arial"/>
                <w:b w:val="0"/>
              </w:rPr>
              <w:t xml:space="preserve">Fortnightly,  </w:t>
            </w:r>
            <w:r w:rsidR="0028131B">
              <w:rPr>
                <w:rStyle w:val="Strong"/>
                <w:rFonts w:ascii="Arial" w:hAnsi="Arial" w:cs="Arial"/>
                <w:b w:val="0"/>
              </w:rPr>
              <w:t xml:space="preserve">within </w:t>
            </w:r>
            <w:r w:rsidR="00CB6284">
              <w:rPr>
                <w:rStyle w:val="Strong"/>
                <w:rFonts w:ascii="Arial" w:hAnsi="Arial" w:cs="Arial"/>
                <w:b w:val="0"/>
              </w:rPr>
              <w:t>four working days of</w:t>
            </w:r>
            <w:r>
              <w:rPr>
                <w:rStyle w:val="Strong"/>
                <w:rFonts w:ascii="Arial" w:hAnsi="Arial" w:cs="Arial"/>
                <w:b w:val="0"/>
              </w:rPr>
              <w:t xml:space="preserve"> receipt of a</w:t>
            </w:r>
            <w:r w:rsidR="001338AA">
              <w:rPr>
                <w:rStyle w:val="Strong"/>
                <w:rFonts w:ascii="Arial" w:hAnsi="Arial" w:cs="Arial"/>
                <w:b w:val="0"/>
              </w:rPr>
              <w:t>n</w:t>
            </w:r>
            <w:r>
              <w:rPr>
                <w:rStyle w:val="Strong"/>
                <w:rFonts w:ascii="Arial" w:hAnsi="Arial" w:cs="Arial"/>
                <w:b w:val="0"/>
              </w:rPr>
              <w:t xml:space="preserve"> Invoice and</w:t>
            </w:r>
            <w:r w:rsidR="00F538D9">
              <w:rPr>
                <w:rStyle w:val="Strong"/>
                <w:rFonts w:ascii="Arial" w:hAnsi="Arial" w:cs="Arial"/>
                <w:b w:val="0"/>
              </w:rPr>
              <w:t xml:space="preserve"> fortnightly </w:t>
            </w:r>
            <w:r>
              <w:rPr>
                <w:rStyle w:val="Strong"/>
                <w:rFonts w:ascii="Arial" w:hAnsi="Arial" w:cs="Arial"/>
                <w:b w:val="0"/>
              </w:rPr>
              <w:t xml:space="preserve"> IRRS Schedule</w:t>
            </w:r>
          </w:p>
        </w:tc>
        <w:tc>
          <w:tcPr>
            <w:tcW w:w="2090" w:type="dxa"/>
            <w:tcBorders>
              <w:top w:val="single" w:sz="4" w:space="0" w:color="auto"/>
              <w:left w:val="single" w:sz="4" w:space="0" w:color="auto"/>
              <w:bottom w:val="single" w:sz="4" w:space="0" w:color="auto"/>
              <w:right w:val="single" w:sz="4" w:space="0" w:color="auto"/>
            </w:tcBorders>
            <w:tcMar>
              <w:top w:w="28" w:type="dxa"/>
              <w:bottom w:w="28" w:type="dxa"/>
              <w:right w:w="278" w:type="dxa"/>
            </w:tcMar>
            <w:vAlign w:val="center"/>
          </w:tcPr>
          <w:p w:rsidR="00713C3B" w:rsidRPr="00131385" w:rsidRDefault="00131385" w:rsidP="00EF75E2">
            <w:pPr>
              <w:tabs>
                <w:tab w:val="left" w:pos="2300"/>
              </w:tabs>
              <w:ind w:right="124"/>
              <w:jc w:val="center"/>
              <w:rPr>
                <w:rFonts w:ascii="Arial" w:hAnsi="Arial" w:cs="Arial"/>
                <w:bCs/>
              </w:rPr>
            </w:pPr>
            <w:r>
              <w:rPr>
                <w:rStyle w:val="Strong"/>
                <w:rFonts w:ascii="Arial" w:hAnsi="Arial" w:cs="Arial"/>
                <w:b w:val="0"/>
              </w:rPr>
              <w:t xml:space="preserve">As per </w:t>
            </w:r>
            <w:r w:rsidR="00EF75E2">
              <w:rPr>
                <w:rStyle w:val="Strong"/>
                <w:rFonts w:ascii="Arial" w:hAnsi="Arial" w:cs="Arial"/>
                <w:b w:val="0"/>
              </w:rPr>
              <w:t xml:space="preserve">IRRS fortnightly </w:t>
            </w:r>
            <w:r>
              <w:rPr>
                <w:rStyle w:val="Strong"/>
                <w:rFonts w:ascii="Arial" w:hAnsi="Arial" w:cs="Arial"/>
                <w:b w:val="0"/>
              </w:rPr>
              <w:t xml:space="preserve">Schedule  </w:t>
            </w:r>
            <w:r w:rsidRPr="00131385">
              <w:rPr>
                <w:rStyle w:val="Strong"/>
                <w:rFonts w:ascii="Arial" w:hAnsi="Arial" w:cs="Arial"/>
                <w:b w:val="0"/>
              </w:rPr>
              <w:t>a</w:t>
            </w:r>
            <w:r w:rsidR="00713C3B" w:rsidRPr="00131385">
              <w:rPr>
                <w:rStyle w:val="Strong"/>
                <w:rFonts w:ascii="Arial" w:hAnsi="Arial" w:cs="Arial"/>
                <w:b w:val="0"/>
              </w:rPr>
              <w:t xml:space="preserve">ttached as Appendix </w:t>
            </w:r>
            <w:r w:rsidRPr="00131385">
              <w:rPr>
                <w:rStyle w:val="Strong"/>
                <w:rFonts w:ascii="Arial" w:hAnsi="Arial" w:cs="Arial"/>
                <w:b w:val="0"/>
              </w:rPr>
              <w:t>1</w:t>
            </w:r>
            <w:r w:rsidR="0093297D">
              <w:rPr>
                <w:rStyle w:val="Strong"/>
                <w:rFonts w:ascii="Arial" w:hAnsi="Arial" w:cs="Arial"/>
                <w:b w:val="0"/>
              </w:rPr>
              <w:t>0</w:t>
            </w:r>
          </w:p>
        </w:tc>
      </w:tr>
    </w:tbl>
    <w:p w:rsidR="008B67BB" w:rsidRDefault="008B67BB" w:rsidP="008B67BB">
      <w:pPr>
        <w:sectPr w:rsidR="008B67BB" w:rsidSect="008B67BB">
          <w:pgSz w:w="11906" w:h="16838"/>
          <w:pgMar w:top="1440" w:right="1440" w:bottom="1440" w:left="1440" w:header="709" w:footer="709" w:gutter="0"/>
          <w:cols w:space="708"/>
          <w:docGrid w:linePitch="360"/>
        </w:sectPr>
      </w:pPr>
    </w:p>
    <w:p w:rsidR="008B67BB" w:rsidRPr="009E3708" w:rsidRDefault="008B67BB" w:rsidP="008B67BB">
      <w:pPr>
        <w:jc w:val="center"/>
        <w:rPr>
          <w:b/>
          <w:sz w:val="28"/>
          <w:szCs w:val="28"/>
          <w:u w:val="single"/>
        </w:rPr>
      </w:pPr>
      <w:r w:rsidRPr="009E3708">
        <w:rPr>
          <w:rFonts w:ascii="Arial" w:hAnsi="Arial" w:cs="Arial"/>
          <w:b/>
          <w:sz w:val="28"/>
          <w:szCs w:val="28"/>
          <w:u w:val="single"/>
        </w:rPr>
        <w:lastRenderedPageBreak/>
        <w:t>Appendix 6 – Conditions the Provider is responsible for</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976"/>
        <w:gridCol w:w="1134"/>
        <w:gridCol w:w="1701"/>
        <w:gridCol w:w="1985"/>
        <w:gridCol w:w="2551"/>
      </w:tblGrid>
      <w:tr w:rsidR="008B67BB" w:rsidRPr="003219DC" w:rsidTr="00D71A22">
        <w:tc>
          <w:tcPr>
            <w:tcW w:w="3970" w:type="dxa"/>
            <w:shd w:val="clear" w:color="auto" w:fill="auto"/>
          </w:tcPr>
          <w:p w:rsidR="008B67BB" w:rsidRPr="0013370C" w:rsidRDefault="008B67BB" w:rsidP="00D71A22">
            <w:pPr>
              <w:rPr>
                <w:rFonts w:ascii="Arial" w:hAnsi="Arial" w:cs="Arial"/>
                <w:b/>
                <w:sz w:val="18"/>
                <w:szCs w:val="18"/>
              </w:rPr>
            </w:pPr>
            <w:r w:rsidRPr="0013370C">
              <w:rPr>
                <w:rFonts w:ascii="Arial" w:hAnsi="Arial" w:cs="Arial"/>
                <w:b/>
                <w:sz w:val="18"/>
                <w:szCs w:val="18"/>
              </w:rPr>
              <w:t>Condition</w:t>
            </w:r>
          </w:p>
        </w:tc>
        <w:tc>
          <w:tcPr>
            <w:tcW w:w="2976" w:type="dxa"/>
            <w:shd w:val="clear" w:color="auto" w:fill="auto"/>
          </w:tcPr>
          <w:p w:rsidR="008B67BB" w:rsidRPr="0013370C" w:rsidRDefault="008B67BB" w:rsidP="00D71A22">
            <w:pPr>
              <w:rPr>
                <w:rFonts w:ascii="Arial" w:hAnsi="Arial" w:cs="Arial"/>
                <w:b/>
                <w:sz w:val="18"/>
                <w:szCs w:val="18"/>
              </w:rPr>
            </w:pPr>
            <w:r w:rsidRPr="0013370C">
              <w:rPr>
                <w:rFonts w:ascii="Arial" w:hAnsi="Arial" w:cs="Arial"/>
                <w:b/>
                <w:sz w:val="18"/>
                <w:szCs w:val="18"/>
              </w:rPr>
              <w:t>Consequence, if not satisfied or complied with</w:t>
            </w:r>
          </w:p>
        </w:tc>
        <w:tc>
          <w:tcPr>
            <w:tcW w:w="1134" w:type="dxa"/>
            <w:shd w:val="clear" w:color="auto" w:fill="auto"/>
          </w:tcPr>
          <w:p w:rsidR="008B67BB" w:rsidRPr="009915DB" w:rsidRDefault="008B67BB" w:rsidP="00D71A22">
            <w:pPr>
              <w:rPr>
                <w:rFonts w:ascii="Arial" w:hAnsi="Arial" w:cs="Arial"/>
                <w:b/>
                <w:sz w:val="16"/>
                <w:szCs w:val="16"/>
              </w:rPr>
            </w:pPr>
            <w:r w:rsidRPr="00DF4EB8">
              <w:rPr>
                <w:rFonts w:ascii="Arial" w:hAnsi="Arial" w:cs="Arial"/>
                <w:b/>
                <w:sz w:val="12"/>
                <w:szCs w:val="12"/>
              </w:rPr>
              <w:t>Last Date to comply</w:t>
            </w:r>
          </w:p>
        </w:tc>
        <w:tc>
          <w:tcPr>
            <w:tcW w:w="1701" w:type="dxa"/>
          </w:tcPr>
          <w:p w:rsidR="008B67BB" w:rsidRPr="00AA22DF" w:rsidRDefault="008B67BB" w:rsidP="00D71A22">
            <w:pPr>
              <w:rPr>
                <w:rFonts w:ascii="Arial" w:hAnsi="Arial" w:cs="Arial"/>
                <w:b/>
                <w:sz w:val="12"/>
                <w:szCs w:val="12"/>
              </w:rPr>
            </w:pPr>
            <w:r w:rsidRPr="00AA22DF">
              <w:rPr>
                <w:rFonts w:ascii="Arial" w:hAnsi="Arial" w:cs="Arial"/>
                <w:b/>
                <w:sz w:val="12"/>
                <w:szCs w:val="12"/>
              </w:rPr>
              <w:t>Before Services provided</w:t>
            </w:r>
            <w:r>
              <w:rPr>
                <w:rFonts w:ascii="Arial" w:hAnsi="Arial" w:cs="Arial"/>
                <w:b/>
                <w:sz w:val="12"/>
                <w:szCs w:val="12"/>
              </w:rPr>
              <w:t>? – Yes / No</w:t>
            </w:r>
          </w:p>
        </w:tc>
        <w:tc>
          <w:tcPr>
            <w:tcW w:w="1985" w:type="dxa"/>
            <w:shd w:val="clear" w:color="auto" w:fill="auto"/>
          </w:tcPr>
          <w:p w:rsidR="008B67BB" w:rsidRPr="00AA22DF" w:rsidRDefault="008B67BB" w:rsidP="00D71A22">
            <w:pPr>
              <w:rPr>
                <w:rFonts w:ascii="Arial" w:hAnsi="Arial" w:cs="Arial"/>
                <w:b/>
                <w:sz w:val="12"/>
                <w:szCs w:val="12"/>
              </w:rPr>
            </w:pPr>
            <w:r w:rsidRPr="00AA22DF">
              <w:rPr>
                <w:rFonts w:ascii="Arial" w:hAnsi="Arial" w:cs="Arial"/>
                <w:b/>
                <w:sz w:val="12"/>
                <w:szCs w:val="12"/>
              </w:rPr>
              <w:t>On-going</w:t>
            </w:r>
            <w:r>
              <w:rPr>
                <w:rFonts w:ascii="Arial" w:hAnsi="Arial" w:cs="Arial"/>
                <w:b/>
                <w:sz w:val="12"/>
                <w:szCs w:val="12"/>
              </w:rPr>
              <w:t>? – Yes / No</w:t>
            </w:r>
          </w:p>
        </w:tc>
        <w:tc>
          <w:tcPr>
            <w:tcW w:w="2551" w:type="dxa"/>
            <w:shd w:val="clear" w:color="auto" w:fill="auto"/>
          </w:tcPr>
          <w:p w:rsidR="008B67BB" w:rsidRPr="009915DB" w:rsidRDefault="008B67BB" w:rsidP="00D71A22">
            <w:pPr>
              <w:rPr>
                <w:rFonts w:ascii="Arial" w:hAnsi="Arial" w:cs="Arial"/>
                <w:sz w:val="16"/>
                <w:szCs w:val="16"/>
              </w:rPr>
            </w:pPr>
            <w:r w:rsidRPr="009915DB">
              <w:rPr>
                <w:rFonts w:ascii="Arial" w:hAnsi="Arial" w:cs="Arial"/>
                <w:b/>
                <w:sz w:val="16"/>
                <w:szCs w:val="16"/>
              </w:rPr>
              <w:t>Purchasing Agency (if more than one)</w:t>
            </w:r>
          </w:p>
        </w:tc>
      </w:tr>
      <w:tr w:rsidR="008B67BB" w:rsidRPr="003219DC" w:rsidTr="00D71A22">
        <w:tc>
          <w:tcPr>
            <w:tcW w:w="3970" w:type="dxa"/>
            <w:shd w:val="clear" w:color="auto" w:fill="auto"/>
          </w:tcPr>
          <w:p w:rsidR="009B1D6D" w:rsidRDefault="00AA3F37" w:rsidP="009B1D6D">
            <w:pPr>
              <w:rPr>
                <w:rFonts w:ascii="Arial" w:hAnsi="Arial" w:cs="Arial"/>
              </w:rPr>
            </w:pPr>
            <w:r w:rsidRPr="004F3892">
              <w:rPr>
                <w:rFonts w:ascii="Arial" w:hAnsi="Arial" w:cs="Arial"/>
                <w:highlight w:val="yellow"/>
              </w:rPr>
              <w:fldChar w:fldCharType="begin"/>
            </w:r>
            <w:r w:rsidRPr="004F3892">
              <w:rPr>
                <w:rFonts w:ascii="Arial" w:hAnsi="Arial" w:cs="Arial"/>
                <w:highlight w:val="yellow"/>
              </w:rPr>
              <w:instrText xml:space="preserve"> DOCPROPERTY  Legal-Name  \* MERGEFORMAT </w:instrText>
            </w:r>
            <w:r w:rsidRPr="004F3892">
              <w:rPr>
                <w:rFonts w:ascii="Arial" w:hAnsi="Arial" w:cs="Arial"/>
                <w:highlight w:val="yellow"/>
              </w:rPr>
              <w:fldChar w:fldCharType="separate"/>
            </w:r>
            <w:r w:rsidRPr="004F3892">
              <w:rPr>
                <w:rFonts w:ascii="Arial" w:hAnsi="Arial" w:cs="Arial"/>
                <w:highlight w:val="yellow"/>
              </w:rPr>
              <w:t>Legal-Name</w:t>
            </w:r>
            <w:r w:rsidRPr="004F3892">
              <w:rPr>
                <w:rFonts w:ascii="Arial" w:hAnsi="Arial" w:cs="Arial"/>
                <w:highlight w:val="yellow"/>
              </w:rPr>
              <w:fldChar w:fldCharType="end"/>
            </w:r>
            <w:r w:rsidRPr="00813C00">
              <w:rPr>
                <w:rFonts w:ascii="Arial" w:hAnsi="Arial" w:cs="Arial"/>
              </w:rPr>
              <w:t xml:space="preserve"> shall ensure it is listed on the Ministry's Family Services Directory </w:t>
            </w:r>
            <w:hyperlink r:id="rId22" w:history="1">
              <w:r w:rsidRPr="00813C00">
                <w:rPr>
                  <w:rFonts w:ascii="Arial" w:hAnsi="Arial" w:cs="Arial"/>
                </w:rPr>
                <w:t>(http://www.familyservices.govt.nz/directory</w:t>
              </w:r>
            </w:hyperlink>
            <w:r w:rsidRPr="00813C00">
              <w:rPr>
                <w:rFonts w:ascii="Arial" w:hAnsi="Arial" w:cs="Arial"/>
              </w:rPr>
              <w:t>) and that the necessary information is updated when required, unless the Service being provided is exempt.</w:t>
            </w:r>
            <w:r w:rsidRPr="00813C00">
              <w:rPr>
                <w:rFonts w:ascii="Arial" w:hAnsi="Arial" w:cs="Arial"/>
                <w:lang w:eastAsia="en-NZ"/>
              </w:rPr>
              <w:t xml:space="preserve">  </w:t>
            </w:r>
            <w:r w:rsidRPr="00813C00">
              <w:rPr>
                <w:rFonts w:ascii="Arial" w:hAnsi="Arial" w:cs="Arial"/>
              </w:rPr>
              <w:t xml:space="preserve"> </w:t>
            </w:r>
          </w:p>
          <w:p w:rsidR="009B1D6D" w:rsidRDefault="009B1D6D" w:rsidP="009B1D6D">
            <w:pPr>
              <w:rPr>
                <w:rFonts w:ascii="Arial" w:hAnsi="Arial" w:cs="Arial"/>
              </w:rPr>
            </w:pPr>
          </w:p>
          <w:p w:rsidR="009B1D6D" w:rsidRDefault="009B1D6D" w:rsidP="009B1D6D">
            <w:pPr>
              <w:rPr>
                <w:rFonts w:ascii="Arial" w:hAnsi="Arial" w:cs="Arial"/>
              </w:rPr>
            </w:pPr>
            <w:r>
              <w:rPr>
                <w:rFonts w:ascii="Arial" w:hAnsi="Arial" w:cs="Arial"/>
              </w:rPr>
              <w:t>The Provider shall ensure it follows the terms of the Outcome Agreement and Framework Terms and Conditions and that its personnel do not commit any criminal or dishonest behaviour that may bring the Purchasing Agency’s reputation into disrepute.</w:t>
            </w:r>
          </w:p>
          <w:p w:rsidR="008B67BB" w:rsidRPr="009E3708" w:rsidRDefault="008B67BB" w:rsidP="00AA3F37">
            <w:pPr>
              <w:suppressAutoHyphens/>
              <w:autoSpaceDE w:val="0"/>
              <w:autoSpaceDN w:val="0"/>
              <w:adjustRightInd w:val="0"/>
              <w:spacing w:before="220"/>
              <w:ind w:left="34" w:hanging="34"/>
              <w:jc w:val="both"/>
              <w:rPr>
                <w:rFonts w:ascii="Arial" w:hAnsi="Arial" w:cs="Arial"/>
              </w:rPr>
            </w:pPr>
          </w:p>
        </w:tc>
        <w:tc>
          <w:tcPr>
            <w:tcW w:w="2976" w:type="dxa"/>
            <w:shd w:val="clear" w:color="auto" w:fill="auto"/>
          </w:tcPr>
          <w:p w:rsidR="008B67BB" w:rsidRDefault="008B67BB" w:rsidP="00D71A22">
            <w:pPr>
              <w:rPr>
                <w:rFonts w:ascii="Arial" w:hAnsi="Arial" w:cs="Arial"/>
              </w:rPr>
            </w:pPr>
          </w:p>
          <w:p w:rsidR="004F3892" w:rsidRDefault="00CD22C0" w:rsidP="000A24C7">
            <w:pPr>
              <w:rPr>
                <w:rFonts w:ascii="Arial" w:hAnsi="Arial" w:cs="Arial"/>
              </w:rPr>
            </w:pPr>
            <w:r>
              <w:rPr>
                <w:rFonts w:ascii="Arial" w:hAnsi="Arial" w:cs="Arial"/>
              </w:rPr>
              <w:t xml:space="preserve"> </w:t>
            </w:r>
          </w:p>
          <w:p w:rsidR="00CD22C0" w:rsidRDefault="00CD22C0" w:rsidP="000A24C7">
            <w:pPr>
              <w:rPr>
                <w:rFonts w:ascii="Arial" w:hAnsi="Arial" w:cs="Arial"/>
              </w:rPr>
            </w:pPr>
            <w:r>
              <w:rPr>
                <w:rFonts w:ascii="Arial" w:hAnsi="Arial" w:cs="Arial"/>
              </w:rPr>
              <w:t>Formal Notice to comply within 10 working days</w:t>
            </w:r>
          </w:p>
          <w:p w:rsidR="009B1D6D" w:rsidRDefault="009B1D6D" w:rsidP="000A24C7">
            <w:pPr>
              <w:rPr>
                <w:rFonts w:ascii="Arial" w:hAnsi="Arial" w:cs="Arial"/>
              </w:rPr>
            </w:pPr>
          </w:p>
          <w:p w:rsidR="009B1D6D" w:rsidRDefault="009B1D6D" w:rsidP="000A24C7">
            <w:pPr>
              <w:rPr>
                <w:rFonts w:ascii="Arial" w:hAnsi="Arial" w:cs="Arial"/>
              </w:rPr>
            </w:pPr>
          </w:p>
          <w:p w:rsidR="009B1D6D" w:rsidRDefault="009B1D6D" w:rsidP="000A24C7">
            <w:pPr>
              <w:rPr>
                <w:rFonts w:ascii="Arial" w:hAnsi="Arial" w:cs="Arial"/>
              </w:rPr>
            </w:pPr>
          </w:p>
          <w:p w:rsidR="009B1D6D" w:rsidRDefault="009B1D6D" w:rsidP="009B1D6D">
            <w:pPr>
              <w:rPr>
                <w:rFonts w:ascii="Arial" w:hAnsi="Arial" w:cs="Arial"/>
              </w:rPr>
            </w:pPr>
          </w:p>
          <w:p w:rsidR="009B1D6D" w:rsidRDefault="00CD22C0" w:rsidP="009B1D6D">
            <w:pPr>
              <w:rPr>
                <w:rFonts w:ascii="Arial" w:hAnsi="Arial" w:cs="Arial"/>
              </w:rPr>
            </w:pPr>
            <w:r>
              <w:rPr>
                <w:rFonts w:ascii="Arial" w:hAnsi="Arial" w:cs="Arial"/>
              </w:rPr>
              <w:t>Suspend until remedied</w:t>
            </w:r>
          </w:p>
          <w:p w:rsidR="009B1D6D" w:rsidRPr="009E3708" w:rsidRDefault="009B1D6D" w:rsidP="000A24C7">
            <w:pPr>
              <w:rPr>
                <w:rFonts w:ascii="Arial" w:hAnsi="Arial" w:cs="Arial"/>
              </w:rPr>
            </w:pPr>
          </w:p>
        </w:tc>
        <w:tc>
          <w:tcPr>
            <w:tcW w:w="1134" w:type="dxa"/>
            <w:shd w:val="clear" w:color="auto" w:fill="auto"/>
          </w:tcPr>
          <w:p w:rsidR="004F3892" w:rsidRDefault="004F3892" w:rsidP="00D71A22">
            <w:pPr>
              <w:rPr>
                <w:rFonts w:ascii="Arial" w:hAnsi="Arial" w:cs="Arial"/>
              </w:rPr>
            </w:pPr>
          </w:p>
          <w:p w:rsidR="008B67BB" w:rsidRDefault="00AA3F37" w:rsidP="00D71A22">
            <w:pPr>
              <w:rPr>
                <w:rFonts w:ascii="Arial" w:hAnsi="Arial" w:cs="Arial"/>
              </w:rPr>
            </w:pPr>
            <w:r>
              <w:rPr>
                <w:rFonts w:ascii="Arial" w:hAnsi="Arial" w:cs="Arial"/>
              </w:rPr>
              <w:t>1 April 2014</w:t>
            </w: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Pr="009E3708" w:rsidRDefault="009B1D6D" w:rsidP="00D71A22">
            <w:pPr>
              <w:rPr>
                <w:rFonts w:ascii="Arial" w:hAnsi="Arial" w:cs="Arial"/>
              </w:rPr>
            </w:pPr>
            <w:r>
              <w:rPr>
                <w:rFonts w:ascii="Arial" w:hAnsi="Arial" w:cs="Arial"/>
              </w:rPr>
              <w:t>NA</w:t>
            </w:r>
          </w:p>
        </w:tc>
        <w:tc>
          <w:tcPr>
            <w:tcW w:w="1701" w:type="dxa"/>
          </w:tcPr>
          <w:p w:rsidR="008B67BB" w:rsidRDefault="008B67BB" w:rsidP="00D71A22">
            <w:pPr>
              <w:rPr>
                <w:rFonts w:ascii="Arial" w:hAnsi="Arial" w:cs="Arial"/>
              </w:rPr>
            </w:pPr>
          </w:p>
          <w:p w:rsidR="00AA3F37" w:rsidRDefault="00AA3F37" w:rsidP="00D71A22">
            <w:pPr>
              <w:rPr>
                <w:rFonts w:ascii="Arial" w:hAnsi="Arial" w:cs="Arial"/>
              </w:rPr>
            </w:pPr>
            <w:r>
              <w:rPr>
                <w:rFonts w:ascii="Arial" w:hAnsi="Arial" w:cs="Arial"/>
              </w:rPr>
              <w:t>Yes</w:t>
            </w: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r>
              <w:rPr>
                <w:rFonts w:ascii="Arial" w:hAnsi="Arial" w:cs="Arial"/>
              </w:rPr>
              <w:t>No</w:t>
            </w:r>
          </w:p>
          <w:p w:rsidR="009B1D6D" w:rsidRPr="009E3708" w:rsidRDefault="009B1D6D" w:rsidP="00D71A22">
            <w:pPr>
              <w:rPr>
                <w:rFonts w:ascii="Arial" w:hAnsi="Arial" w:cs="Arial"/>
              </w:rPr>
            </w:pPr>
          </w:p>
        </w:tc>
        <w:tc>
          <w:tcPr>
            <w:tcW w:w="1985" w:type="dxa"/>
            <w:shd w:val="clear" w:color="auto" w:fill="auto"/>
          </w:tcPr>
          <w:p w:rsidR="008B67BB" w:rsidRDefault="008B67BB" w:rsidP="00D71A22">
            <w:pPr>
              <w:rPr>
                <w:rFonts w:ascii="Arial" w:hAnsi="Arial" w:cs="Arial"/>
              </w:rPr>
            </w:pPr>
          </w:p>
          <w:p w:rsidR="00AA3F37" w:rsidRDefault="00AA3F37" w:rsidP="00D71A22">
            <w:pPr>
              <w:rPr>
                <w:rFonts w:ascii="Arial" w:hAnsi="Arial" w:cs="Arial"/>
              </w:rPr>
            </w:pPr>
            <w:r>
              <w:rPr>
                <w:rFonts w:ascii="Arial" w:hAnsi="Arial" w:cs="Arial"/>
              </w:rPr>
              <w:t>Yes</w:t>
            </w: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Pr="009E3708" w:rsidRDefault="009B1D6D" w:rsidP="00D71A22">
            <w:pPr>
              <w:rPr>
                <w:rFonts w:ascii="Arial" w:hAnsi="Arial" w:cs="Arial"/>
              </w:rPr>
            </w:pPr>
            <w:r>
              <w:rPr>
                <w:rFonts w:ascii="Arial" w:hAnsi="Arial" w:cs="Arial"/>
              </w:rPr>
              <w:t>Yes</w:t>
            </w:r>
          </w:p>
        </w:tc>
        <w:tc>
          <w:tcPr>
            <w:tcW w:w="2551" w:type="dxa"/>
            <w:shd w:val="clear" w:color="auto" w:fill="auto"/>
          </w:tcPr>
          <w:p w:rsidR="008B67BB" w:rsidRDefault="008B67BB" w:rsidP="00D71A22">
            <w:pPr>
              <w:rPr>
                <w:rFonts w:ascii="Arial" w:hAnsi="Arial" w:cs="Arial"/>
              </w:rPr>
            </w:pPr>
          </w:p>
          <w:p w:rsidR="005A307A" w:rsidRDefault="005A307A" w:rsidP="00D71A22">
            <w:pPr>
              <w:rPr>
                <w:rFonts w:ascii="Arial" w:hAnsi="Arial" w:cs="Arial"/>
              </w:rPr>
            </w:pPr>
            <w:r>
              <w:rPr>
                <w:rFonts w:ascii="Arial" w:hAnsi="Arial" w:cs="Arial"/>
              </w:rPr>
              <w:t>Not Applicable</w:t>
            </w: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Default="009B1D6D" w:rsidP="00D71A22">
            <w:pPr>
              <w:rPr>
                <w:rFonts w:ascii="Arial" w:hAnsi="Arial" w:cs="Arial"/>
              </w:rPr>
            </w:pPr>
          </w:p>
          <w:p w:rsidR="009B1D6D" w:rsidRPr="009E3708" w:rsidRDefault="009B1D6D" w:rsidP="00D71A22">
            <w:pPr>
              <w:rPr>
                <w:rFonts w:ascii="Arial" w:hAnsi="Arial" w:cs="Arial"/>
              </w:rPr>
            </w:pPr>
            <w:r>
              <w:rPr>
                <w:rFonts w:ascii="Arial" w:hAnsi="Arial" w:cs="Arial"/>
              </w:rPr>
              <w:t>MSD</w:t>
            </w:r>
          </w:p>
        </w:tc>
      </w:tr>
    </w:tbl>
    <w:p w:rsidR="008B67BB" w:rsidRDefault="008B67BB" w:rsidP="008B67BB"/>
    <w:p w:rsidR="008B67BB" w:rsidRDefault="008B67BB">
      <w:r>
        <w:br w:type="page"/>
      </w:r>
    </w:p>
    <w:p w:rsidR="008B67BB" w:rsidRPr="009E3708" w:rsidRDefault="008B67BB" w:rsidP="008B67BB">
      <w:pPr>
        <w:jc w:val="center"/>
        <w:rPr>
          <w:rFonts w:ascii="Arial" w:hAnsi="Arial" w:cs="Arial"/>
          <w:b/>
          <w:sz w:val="28"/>
          <w:szCs w:val="28"/>
          <w:u w:val="single"/>
        </w:rPr>
      </w:pPr>
      <w:r w:rsidRPr="009E3708">
        <w:rPr>
          <w:rFonts w:ascii="Arial" w:hAnsi="Arial" w:cs="Arial"/>
          <w:b/>
          <w:sz w:val="28"/>
          <w:szCs w:val="28"/>
          <w:u w:val="single"/>
        </w:rPr>
        <w:lastRenderedPageBreak/>
        <w:t>Appendix 7 – Conditions the Purchasing Agency is responsible for</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276"/>
        <w:gridCol w:w="1842"/>
        <w:gridCol w:w="1701"/>
        <w:gridCol w:w="2694"/>
      </w:tblGrid>
      <w:tr w:rsidR="008B67BB" w:rsidRPr="003219DC" w:rsidTr="008B67BB">
        <w:tc>
          <w:tcPr>
            <w:tcW w:w="3403" w:type="dxa"/>
            <w:shd w:val="clear" w:color="auto" w:fill="auto"/>
          </w:tcPr>
          <w:p w:rsidR="008B67BB" w:rsidRPr="003219DC" w:rsidRDefault="008B67BB" w:rsidP="00D71A22">
            <w:pPr>
              <w:rPr>
                <w:rFonts w:ascii="Arial" w:hAnsi="Arial" w:cs="Arial"/>
                <w:b/>
              </w:rPr>
            </w:pPr>
            <w:r w:rsidRPr="003219DC">
              <w:rPr>
                <w:rFonts w:ascii="Arial" w:hAnsi="Arial" w:cs="Arial"/>
                <w:b/>
              </w:rPr>
              <w:t>Condition</w:t>
            </w:r>
          </w:p>
        </w:tc>
        <w:tc>
          <w:tcPr>
            <w:tcW w:w="2693" w:type="dxa"/>
            <w:shd w:val="clear" w:color="auto" w:fill="auto"/>
          </w:tcPr>
          <w:p w:rsidR="008B67BB" w:rsidRPr="003219DC" w:rsidRDefault="008B67BB" w:rsidP="00D71A22">
            <w:pPr>
              <w:rPr>
                <w:rFonts w:ascii="Arial" w:hAnsi="Arial" w:cs="Arial"/>
                <w:b/>
              </w:rPr>
            </w:pPr>
            <w:r w:rsidRPr="003219DC">
              <w:rPr>
                <w:rFonts w:ascii="Arial" w:hAnsi="Arial" w:cs="Arial"/>
                <w:b/>
              </w:rPr>
              <w:t>Consequence, if not satisfied or complied with</w:t>
            </w:r>
          </w:p>
        </w:tc>
        <w:tc>
          <w:tcPr>
            <w:tcW w:w="1276" w:type="dxa"/>
            <w:shd w:val="clear" w:color="auto" w:fill="auto"/>
          </w:tcPr>
          <w:p w:rsidR="008B67BB" w:rsidRPr="00DF4EB8" w:rsidRDefault="008B67BB" w:rsidP="00D71A22">
            <w:pPr>
              <w:rPr>
                <w:rFonts w:ascii="Arial" w:hAnsi="Arial" w:cs="Arial"/>
                <w:b/>
                <w:sz w:val="12"/>
                <w:szCs w:val="12"/>
              </w:rPr>
            </w:pPr>
            <w:r w:rsidRPr="00DF4EB8">
              <w:rPr>
                <w:rFonts w:ascii="Arial" w:hAnsi="Arial" w:cs="Arial"/>
                <w:b/>
                <w:sz w:val="12"/>
                <w:szCs w:val="12"/>
              </w:rPr>
              <w:t>Last Date to comply</w:t>
            </w:r>
          </w:p>
        </w:tc>
        <w:tc>
          <w:tcPr>
            <w:tcW w:w="1842" w:type="dxa"/>
          </w:tcPr>
          <w:p w:rsidR="008B67BB" w:rsidRPr="00DF4EB8" w:rsidRDefault="008B67BB" w:rsidP="00D71A22">
            <w:pPr>
              <w:rPr>
                <w:rFonts w:ascii="Arial" w:hAnsi="Arial" w:cs="Arial"/>
                <w:b/>
                <w:sz w:val="12"/>
                <w:szCs w:val="12"/>
              </w:rPr>
            </w:pPr>
            <w:r w:rsidRPr="00DF4EB8">
              <w:rPr>
                <w:rFonts w:ascii="Arial" w:hAnsi="Arial" w:cs="Arial"/>
                <w:b/>
                <w:sz w:val="12"/>
                <w:szCs w:val="12"/>
              </w:rPr>
              <w:t>Before Services provided</w:t>
            </w:r>
            <w:r>
              <w:rPr>
                <w:rFonts w:ascii="Arial" w:hAnsi="Arial" w:cs="Arial"/>
                <w:b/>
                <w:sz w:val="12"/>
                <w:szCs w:val="12"/>
              </w:rPr>
              <w:t>? – Yes / No</w:t>
            </w:r>
          </w:p>
        </w:tc>
        <w:tc>
          <w:tcPr>
            <w:tcW w:w="1701" w:type="dxa"/>
            <w:shd w:val="clear" w:color="auto" w:fill="auto"/>
          </w:tcPr>
          <w:p w:rsidR="008B67BB" w:rsidRPr="00DF4EB8" w:rsidRDefault="008B67BB" w:rsidP="00D71A22">
            <w:pPr>
              <w:rPr>
                <w:rFonts w:ascii="Arial" w:hAnsi="Arial" w:cs="Arial"/>
                <w:b/>
                <w:sz w:val="12"/>
                <w:szCs w:val="12"/>
              </w:rPr>
            </w:pPr>
            <w:r w:rsidRPr="00DF4EB8">
              <w:rPr>
                <w:rFonts w:ascii="Arial" w:hAnsi="Arial" w:cs="Arial"/>
                <w:b/>
                <w:sz w:val="12"/>
                <w:szCs w:val="12"/>
              </w:rPr>
              <w:t>On-going</w:t>
            </w:r>
            <w:r>
              <w:rPr>
                <w:rFonts w:ascii="Arial" w:hAnsi="Arial" w:cs="Arial"/>
                <w:b/>
                <w:sz w:val="12"/>
                <w:szCs w:val="12"/>
              </w:rPr>
              <w:t>? – Yes / No</w:t>
            </w:r>
          </w:p>
        </w:tc>
        <w:tc>
          <w:tcPr>
            <w:tcW w:w="2694" w:type="dxa"/>
            <w:shd w:val="clear" w:color="auto" w:fill="auto"/>
          </w:tcPr>
          <w:p w:rsidR="008B67BB" w:rsidRPr="009915DB" w:rsidRDefault="008B67BB" w:rsidP="00D71A22">
            <w:pPr>
              <w:rPr>
                <w:rFonts w:ascii="Arial" w:hAnsi="Arial" w:cs="Arial"/>
                <w:sz w:val="16"/>
                <w:szCs w:val="16"/>
              </w:rPr>
            </w:pPr>
            <w:r w:rsidRPr="009915DB">
              <w:rPr>
                <w:rFonts w:ascii="Arial" w:hAnsi="Arial" w:cs="Arial"/>
                <w:b/>
                <w:sz w:val="16"/>
                <w:szCs w:val="16"/>
              </w:rPr>
              <w:t>Purchasing Agency (if more than one)</w:t>
            </w:r>
          </w:p>
        </w:tc>
      </w:tr>
      <w:tr w:rsidR="008B67BB" w:rsidRPr="003219DC" w:rsidTr="005A307A">
        <w:tc>
          <w:tcPr>
            <w:tcW w:w="3403" w:type="dxa"/>
            <w:tcBorders>
              <w:bottom w:val="single" w:sz="4" w:space="0" w:color="auto"/>
            </w:tcBorders>
            <w:shd w:val="clear" w:color="auto" w:fill="auto"/>
          </w:tcPr>
          <w:p w:rsidR="008B67BB" w:rsidRPr="003219DC" w:rsidRDefault="004F3892" w:rsidP="004F3892">
            <w:pPr>
              <w:rPr>
                <w:rFonts w:ascii="Arial" w:hAnsi="Arial" w:cs="Arial"/>
              </w:rPr>
            </w:pPr>
            <w:r>
              <w:rPr>
                <w:rFonts w:ascii="Arial" w:hAnsi="Arial" w:cs="Arial"/>
              </w:rPr>
              <w:t>Annual Publication of Housing Needs Analysis</w:t>
            </w:r>
            <w:r w:rsidR="008B67BB">
              <w:rPr>
                <w:rFonts w:ascii="Arial" w:hAnsi="Arial" w:cs="Arial"/>
              </w:rPr>
              <w:t xml:space="preserve"> </w:t>
            </w:r>
          </w:p>
        </w:tc>
        <w:tc>
          <w:tcPr>
            <w:tcW w:w="2693" w:type="dxa"/>
            <w:tcBorders>
              <w:bottom w:val="single" w:sz="4" w:space="0" w:color="auto"/>
            </w:tcBorders>
            <w:shd w:val="clear" w:color="auto" w:fill="auto"/>
          </w:tcPr>
          <w:p w:rsidR="008B67BB" w:rsidRPr="003219DC" w:rsidRDefault="000A24C7" w:rsidP="00D71A22">
            <w:pPr>
              <w:rPr>
                <w:rFonts w:ascii="Arial" w:hAnsi="Arial" w:cs="Arial"/>
              </w:rPr>
            </w:pPr>
            <w:r>
              <w:rPr>
                <w:rFonts w:ascii="Arial" w:hAnsi="Arial" w:cs="Arial"/>
              </w:rPr>
              <w:t>Escalation of non-compliance to MSD senior management.</w:t>
            </w:r>
          </w:p>
        </w:tc>
        <w:tc>
          <w:tcPr>
            <w:tcW w:w="1276" w:type="dxa"/>
            <w:tcBorders>
              <w:bottom w:val="single" w:sz="4" w:space="0" w:color="auto"/>
            </w:tcBorders>
            <w:shd w:val="clear" w:color="auto" w:fill="auto"/>
          </w:tcPr>
          <w:p w:rsidR="008B67BB" w:rsidRPr="003219DC" w:rsidRDefault="001338AA" w:rsidP="00D71A22">
            <w:pPr>
              <w:rPr>
                <w:rFonts w:ascii="Arial" w:hAnsi="Arial" w:cs="Arial"/>
              </w:rPr>
            </w:pPr>
            <w:r>
              <w:rPr>
                <w:rFonts w:ascii="Arial" w:hAnsi="Arial" w:cs="Arial"/>
              </w:rPr>
              <w:t>By 30 June each year</w:t>
            </w:r>
          </w:p>
        </w:tc>
        <w:tc>
          <w:tcPr>
            <w:tcW w:w="1842" w:type="dxa"/>
            <w:tcBorders>
              <w:bottom w:val="single" w:sz="4" w:space="0" w:color="auto"/>
            </w:tcBorders>
          </w:tcPr>
          <w:p w:rsidR="008B67BB" w:rsidRPr="003219DC" w:rsidRDefault="001338AA" w:rsidP="00D71A22">
            <w:pPr>
              <w:rPr>
                <w:rFonts w:ascii="Arial" w:hAnsi="Arial" w:cs="Arial"/>
              </w:rPr>
            </w:pPr>
            <w:r>
              <w:rPr>
                <w:rFonts w:ascii="Arial" w:hAnsi="Arial" w:cs="Arial"/>
              </w:rPr>
              <w:t>Yes</w:t>
            </w:r>
          </w:p>
        </w:tc>
        <w:tc>
          <w:tcPr>
            <w:tcW w:w="1701" w:type="dxa"/>
            <w:tcBorders>
              <w:bottom w:val="single" w:sz="4" w:space="0" w:color="auto"/>
            </w:tcBorders>
            <w:shd w:val="clear" w:color="auto" w:fill="auto"/>
          </w:tcPr>
          <w:p w:rsidR="008B67BB" w:rsidRPr="003219DC" w:rsidRDefault="000A24C7" w:rsidP="00D71A22">
            <w:pPr>
              <w:rPr>
                <w:rFonts w:ascii="Arial" w:hAnsi="Arial" w:cs="Arial"/>
              </w:rPr>
            </w:pPr>
            <w:r>
              <w:rPr>
                <w:rFonts w:ascii="Arial" w:hAnsi="Arial" w:cs="Arial"/>
              </w:rPr>
              <w:t>Yes</w:t>
            </w:r>
          </w:p>
        </w:tc>
        <w:tc>
          <w:tcPr>
            <w:tcW w:w="2694" w:type="dxa"/>
            <w:tcBorders>
              <w:bottom w:val="single" w:sz="4" w:space="0" w:color="auto"/>
            </w:tcBorders>
            <w:shd w:val="clear" w:color="auto" w:fill="auto"/>
          </w:tcPr>
          <w:p w:rsidR="008B67BB" w:rsidRPr="003219DC" w:rsidRDefault="000A24C7" w:rsidP="00D71A22">
            <w:pPr>
              <w:rPr>
                <w:rFonts w:ascii="Arial" w:hAnsi="Arial" w:cs="Arial"/>
              </w:rPr>
            </w:pPr>
            <w:r>
              <w:rPr>
                <w:rFonts w:ascii="Arial" w:hAnsi="Arial" w:cs="Arial"/>
              </w:rPr>
              <w:t>MSD</w:t>
            </w:r>
          </w:p>
        </w:tc>
      </w:tr>
      <w:tr w:rsidR="000A24C7" w:rsidRPr="003219DC" w:rsidTr="008B67BB">
        <w:tc>
          <w:tcPr>
            <w:tcW w:w="3403" w:type="dxa"/>
            <w:shd w:val="clear" w:color="auto" w:fill="auto"/>
          </w:tcPr>
          <w:p w:rsidR="000A24C7" w:rsidRPr="005A307A" w:rsidRDefault="000A24C7" w:rsidP="00737115">
            <w:pPr>
              <w:rPr>
                <w:rFonts w:ascii="Arial" w:hAnsi="Arial" w:cs="Arial"/>
              </w:rPr>
            </w:pPr>
            <w:r w:rsidRPr="005A307A">
              <w:rPr>
                <w:rFonts w:ascii="Arial" w:hAnsi="Arial" w:cs="Arial"/>
              </w:rPr>
              <w:t xml:space="preserve">Quarterly updates </w:t>
            </w:r>
            <w:r w:rsidR="00737115">
              <w:rPr>
                <w:rFonts w:ascii="Arial" w:hAnsi="Arial" w:cs="Arial"/>
              </w:rPr>
              <w:t>Social Housing Register</w:t>
            </w:r>
            <w:r w:rsidRPr="005A307A">
              <w:rPr>
                <w:rFonts w:ascii="Arial" w:hAnsi="Arial" w:cs="Arial"/>
              </w:rPr>
              <w:t xml:space="preserve"> demand</w:t>
            </w:r>
          </w:p>
        </w:tc>
        <w:tc>
          <w:tcPr>
            <w:tcW w:w="2693" w:type="dxa"/>
            <w:shd w:val="clear" w:color="auto" w:fill="auto"/>
          </w:tcPr>
          <w:p w:rsidR="000A24C7" w:rsidRDefault="000A24C7" w:rsidP="00D71A22">
            <w:pPr>
              <w:rPr>
                <w:rFonts w:ascii="Arial" w:hAnsi="Arial" w:cs="Arial"/>
              </w:rPr>
            </w:pPr>
            <w:r>
              <w:rPr>
                <w:rFonts w:ascii="Arial" w:hAnsi="Arial" w:cs="Arial"/>
              </w:rPr>
              <w:t>Escalation of non-compliance to MSD senior management.</w:t>
            </w:r>
          </w:p>
        </w:tc>
        <w:tc>
          <w:tcPr>
            <w:tcW w:w="1276" w:type="dxa"/>
            <w:shd w:val="clear" w:color="auto" w:fill="auto"/>
          </w:tcPr>
          <w:p w:rsidR="000A24C7" w:rsidRDefault="000A24C7" w:rsidP="00D71A22">
            <w:pPr>
              <w:rPr>
                <w:rFonts w:ascii="Arial" w:hAnsi="Arial" w:cs="Arial"/>
              </w:rPr>
            </w:pPr>
            <w:r>
              <w:rPr>
                <w:rFonts w:ascii="Arial" w:hAnsi="Arial" w:cs="Arial"/>
              </w:rPr>
              <w:t>Within four weeks of end of quarter</w:t>
            </w:r>
          </w:p>
        </w:tc>
        <w:tc>
          <w:tcPr>
            <w:tcW w:w="1842" w:type="dxa"/>
          </w:tcPr>
          <w:p w:rsidR="000A24C7" w:rsidRDefault="000A24C7" w:rsidP="00D71A22">
            <w:pPr>
              <w:rPr>
                <w:rFonts w:ascii="Arial" w:hAnsi="Arial" w:cs="Arial"/>
              </w:rPr>
            </w:pPr>
            <w:r>
              <w:rPr>
                <w:rFonts w:ascii="Arial" w:hAnsi="Arial" w:cs="Arial"/>
              </w:rPr>
              <w:t>No</w:t>
            </w:r>
          </w:p>
        </w:tc>
        <w:tc>
          <w:tcPr>
            <w:tcW w:w="1701" w:type="dxa"/>
            <w:shd w:val="clear" w:color="auto" w:fill="auto"/>
          </w:tcPr>
          <w:p w:rsidR="000A24C7" w:rsidRPr="003219DC" w:rsidRDefault="000A24C7" w:rsidP="00D71A22">
            <w:pPr>
              <w:rPr>
                <w:rFonts w:ascii="Arial" w:hAnsi="Arial" w:cs="Arial"/>
              </w:rPr>
            </w:pPr>
            <w:r>
              <w:rPr>
                <w:rFonts w:ascii="Arial" w:hAnsi="Arial" w:cs="Arial"/>
              </w:rPr>
              <w:t>Yes</w:t>
            </w:r>
          </w:p>
        </w:tc>
        <w:tc>
          <w:tcPr>
            <w:tcW w:w="2694" w:type="dxa"/>
            <w:shd w:val="clear" w:color="auto" w:fill="auto"/>
          </w:tcPr>
          <w:p w:rsidR="000A24C7" w:rsidRPr="003219DC" w:rsidRDefault="000A24C7" w:rsidP="00D71A22">
            <w:pPr>
              <w:rPr>
                <w:rFonts w:ascii="Arial" w:hAnsi="Arial" w:cs="Arial"/>
              </w:rPr>
            </w:pPr>
            <w:r>
              <w:rPr>
                <w:rFonts w:ascii="Arial" w:hAnsi="Arial" w:cs="Arial"/>
              </w:rPr>
              <w:t>MSD</w:t>
            </w:r>
          </w:p>
        </w:tc>
      </w:tr>
      <w:tr w:rsidR="000A24C7" w:rsidRPr="003219DC" w:rsidTr="008B67BB">
        <w:tc>
          <w:tcPr>
            <w:tcW w:w="3403" w:type="dxa"/>
            <w:shd w:val="clear" w:color="auto" w:fill="auto"/>
          </w:tcPr>
          <w:p w:rsidR="000A24C7" w:rsidRPr="00C70EE3" w:rsidRDefault="000A24C7" w:rsidP="00960574">
            <w:pPr>
              <w:rPr>
                <w:rFonts w:ascii="Arial" w:hAnsi="Arial" w:cs="Arial"/>
              </w:rPr>
            </w:pPr>
            <w:r w:rsidRPr="005A307A">
              <w:rPr>
                <w:rFonts w:ascii="Arial" w:hAnsi="Arial" w:cs="Arial"/>
              </w:rPr>
              <w:t xml:space="preserve">Notification of changes in </w:t>
            </w:r>
            <w:r w:rsidR="00780F24">
              <w:rPr>
                <w:rFonts w:ascii="Arial" w:hAnsi="Arial" w:cs="Arial"/>
              </w:rPr>
              <w:t xml:space="preserve">rate of </w:t>
            </w:r>
            <w:r w:rsidRPr="005A307A">
              <w:rPr>
                <w:rFonts w:ascii="Arial" w:hAnsi="Arial" w:cs="Arial"/>
              </w:rPr>
              <w:t>IRR/IRRS</w:t>
            </w:r>
          </w:p>
        </w:tc>
        <w:tc>
          <w:tcPr>
            <w:tcW w:w="2693" w:type="dxa"/>
            <w:shd w:val="clear" w:color="auto" w:fill="auto"/>
          </w:tcPr>
          <w:p w:rsidR="000A24C7" w:rsidRDefault="005A3322" w:rsidP="00260E1F">
            <w:pPr>
              <w:rPr>
                <w:rFonts w:ascii="Arial" w:hAnsi="Arial" w:cs="Arial"/>
              </w:rPr>
            </w:pPr>
            <w:r>
              <w:rPr>
                <w:rFonts w:ascii="Arial" w:hAnsi="Arial" w:cs="Arial"/>
              </w:rPr>
              <w:t>Increased</w:t>
            </w:r>
            <w:r w:rsidR="000A24C7">
              <w:rPr>
                <w:rFonts w:ascii="Arial" w:hAnsi="Arial" w:cs="Arial"/>
              </w:rPr>
              <w:t xml:space="preserve"> rate of IRR for a tenancy will not be applied until 6</w:t>
            </w:r>
            <w:r w:rsidR="0093297D">
              <w:rPr>
                <w:rFonts w:ascii="Arial" w:hAnsi="Arial" w:cs="Arial"/>
              </w:rPr>
              <w:t>5</w:t>
            </w:r>
            <w:r w:rsidR="000A24C7">
              <w:rPr>
                <w:rFonts w:ascii="Arial" w:hAnsi="Arial" w:cs="Arial"/>
              </w:rPr>
              <w:t xml:space="preserve"> days post formal notification</w:t>
            </w:r>
          </w:p>
        </w:tc>
        <w:tc>
          <w:tcPr>
            <w:tcW w:w="1276" w:type="dxa"/>
            <w:shd w:val="clear" w:color="auto" w:fill="auto"/>
          </w:tcPr>
          <w:p w:rsidR="000A24C7" w:rsidRDefault="00B4372C" w:rsidP="00D71A22">
            <w:pPr>
              <w:rPr>
                <w:rFonts w:ascii="Arial" w:hAnsi="Arial" w:cs="Arial"/>
              </w:rPr>
            </w:pPr>
            <w:r>
              <w:rPr>
                <w:rFonts w:ascii="Arial" w:hAnsi="Arial" w:cs="Arial"/>
              </w:rPr>
              <w:t>On-going</w:t>
            </w:r>
          </w:p>
        </w:tc>
        <w:tc>
          <w:tcPr>
            <w:tcW w:w="1842" w:type="dxa"/>
          </w:tcPr>
          <w:p w:rsidR="000A24C7" w:rsidRDefault="000A24C7" w:rsidP="00D71A22">
            <w:pPr>
              <w:rPr>
                <w:rFonts w:ascii="Arial" w:hAnsi="Arial" w:cs="Arial"/>
              </w:rPr>
            </w:pPr>
            <w:r>
              <w:rPr>
                <w:rFonts w:ascii="Arial" w:hAnsi="Arial" w:cs="Arial"/>
              </w:rPr>
              <w:t>No</w:t>
            </w:r>
          </w:p>
        </w:tc>
        <w:tc>
          <w:tcPr>
            <w:tcW w:w="1701" w:type="dxa"/>
            <w:shd w:val="clear" w:color="auto" w:fill="auto"/>
          </w:tcPr>
          <w:p w:rsidR="000A24C7" w:rsidRPr="003219DC" w:rsidRDefault="000A24C7" w:rsidP="00D71A22">
            <w:pPr>
              <w:rPr>
                <w:rFonts w:ascii="Arial" w:hAnsi="Arial" w:cs="Arial"/>
              </w:rPr>
            </w:pPr>
            <w:r>
              <w:rPr>
                <w:rFonts w:ascii="Arial" w:hAnsi="Arial" w:cs="Arial"/>
              </w:rPr>
              <w:t>Yes</w:t>
            </w:r>
          </w:p>
        </w:tc>
        <w:tc>
          <w:tcPr>
            <w:tcW w:w="2694" w:type="dxa"/>
            <w:shd w:val="clear" w:color="auto" w:fill="auto"/>
          </w:tcPr>
          <w:p w:rsidR="000A24C7" w:rsidRPr="003219DC" w:rsidRDefault="000A24C7" w:rsidP="00D71A22">
            <w:pPr>
              <w:rPr>
                <w:rFonts w:ascii="Arial" w:hAnsi="Arial" w:cs="Arial"/>
              </w:rPr>
            </w:pPr>
            <w:r>
              <w:rPr>
                <w:rFonts w:ascii="Arial" w:hAnsi="Arial" w:cs="Arial"/>
              </w:rPr>
              <w:t>MSD</w:t>
            </w:r>
          </w:p>
        </w:tc>
      </w:tr>
    </w:tbl>
    <w:p w:rsidR="008B67BB" w:rsidRDefault="008B67BB" w:rsidP="008B67BB"/>
    <w:p w:rsidR="008B67BB" w:rsidRDefault="008B67BB" w:rsidP="008B67BB">
      <w:pPr>
        <w:sectPr w:rsidR="008B67BB" w:rsidSect="008B67BB">
          <w:pgSz w:w="16838" w:h="11906" w:orient="landscape"/>
          <w:pgMar w:top="1440" w:right="1440" w:bottom="1440" w:left="1440" w:header="709" w:footer="709" w:gutter="0"/>
          <w:cols w:space="708"/>
          <w:docGrid w:linePitch="360"/>
        </w:sectPr>
      </w:pPr>
      <w:r>
        <w:br w:type="page"/>
      </w:r>
    </w:p>
    <w:p w:rsidR="008B67BB" w:rsidRDefault="008B67BB"/>
    <w:p w:rsidR="008B67BB" w:rsidRPr="009E3708" w:rsidRDefault="008B67BB" w:rsidP="008B67BB">
      <w:pPr>
        <w:jc w:val="center"/>
        <w:rPr>
          <w:b/>
          <w:sz w:val="28"/>
          <w:szCs w:val="28"/>
          <w:u w:val="single"/>
        </w:rPr>
      </w:pPr>
      <w:r w:rsidRPr="009E3708">
        <w:rPr>
          <w:rFonts w:ascii="Arial" w:hAnsi="Arial" w:cs="Arial"/>
          <w:b/>
          <w:sz w:val="28"/>
          <w:szCs w:val="28"/>
          <w:u w:val="single"/>
        </w:rPr>
        <w:t xml:space="preserve">Appendix </w:t>
      </w:r>
      <w:r w:rsidR="000374BE">
        <w:rPr>
          <w:rFonts w:ascii="Arial" w:hAnsi="Arial" w:cs="Arial"/>
          <w:b/>
          <w:sz w:val="28"/>
          <w:szCs w:val="28"/>
          <w:u w:val="single"/>
        </w:rPr>
        <w:t>8</w:t>
      </w:r>
      <w:r w:rsidRPr="009E3708">
        <w:rPr>
          <w:rFonts w:ascii="Arial" w:hAnsi="Arial" w:cs="Arial"/>
          <w:b/>
          <w:sz w:val="28"/>
          <w:szCs w:val="28"/>
          <w:u w:val="single"/>
        </w:rPr>
        <w:t xml:space="preserve"> – Permitted information disclosure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213"/>
        <w:gridCol w:w="3161"/>
      </w:tblGrid>
      <w:tr w:rsidR="008B67BB" w:rsidTr="00F538D9">
        <w:tc>
          <w:tcPr>
            <w:tcW w:w="1465" w:type="pct"/>
            <w:tcBorders>
              <w:top w:val="single" w:sz="4" w:space="0" w:color="auto"/>
              <w:left w:val="single" w:sz="4" w:space="0" w:color="auto"/>
              <w:bottom w:val="single" w:sz="4" w:space="0" w:color="auto"/>
              <w:right w:val="single" w:sz="4" w:space="0" w:color="auto"/>
            </w:tcBorders>
          </w:tcPr>
          <w:p w:rsidR="008B67BB" w:rsidRDefault="008B67BB" w:rsidP="00D71A22">
            <w:pPr>
              <w:rPr>
                <w:rFonts w:ascii="Arial" w:hAnsi="Arial" w:cs="Arial"/>
                <w:b/>
              </w:rPr>
            </w:pPr>
            <w:r>
              <w:rPr>
                <w:rFonts w:ascii="Arial" w:hAnsi="Arial" w:cs="Arial"/>
                <w:b/>
              </w:rPr>
              <w:t>Service</w:t>
            </w:r>
          </w:p>
        </w:tc>
        <w:tc>
          <w:tcPr>
            <w:tcW w:w="1782" w:type="pct"/>
            <w:tcBorders>
              <w:top w:val="single" w:sz="4" w:space="0" w:color="auto"/>
              <w:left w:val="single" w:sz="4" w:space="0" w:color="auto"/>
              <w:bottom w:val="single" w:sz="4" w:space="0" w:color="auto"/>
              <w:right w:val="single" w:sz="4" w:space="0" w:color="auto"/>
            </w:tcBorders>
            <w:hideMark/>
          </w:tcPr>
          <w:p w:rsidR="008B67BB" w:rsidRDefault="008B67BB" w:rsidP="00D71A22">
            <w:pPr>
              <w:rPr>
                <w:rFonts w:ascii="Arial" w:hAnsi="Arial" w:cs="Arial"/>
                <w:b/>
              </w:rPr>
            </w:pPr>
            <w:r>
              <w:rPr>
                <w:rFonts w:ascii="Arial" w:hAnsi="Arial" w:cs="Arial"/>
                <w:b/>
              </w:rPr>
              <w:t>Information to be published</w:t>
            </w:r>
          </w:p>
        </w:tc>
        <w:tc>
          <w:tcPr>
            <w:tcW w:w="1753" w:type="pct"/>
            <w:tcBorders>
              <w:top w:val="single" w:sz="4" w:space="0" w:color="auto"/>
              <w:left w:val="single" w:sz="4" w:space="0" w:color="auto"/>
              <w:bottom w:val="single" w:sz="4" w:space="0" w:color="auto"/>
              <w:right w:val="single" w:sz="4" w:space="0" w:color="auto"/>
            </w:tcBorders>
          </w:tcPr>
          <w:p w:rsidR="008B67BB" w:rsidRDefault="008B67BB" w:rsidP="00D71A22">
            <w:pPr>
              <w:rPr>
                <w:rFonts w:ascii="Arial" w:hAnsi="Arial" w:cs="Arial"/>
                <w:b/>
              </w:rPr>
            </w:pPr>
            <w:r>
              <w:rPr>
                <w:rFonts w:ascii="Arial" w:hAnsi="Arial" w:cs="Arial"/>
                <w:b/>
              </w:rPr>
              <w:t>Audience</w:t>
            </w:r>
          </w:p>
        </w:tc>
      </w:tr>
      <w:tr w:rsidR="008B67BB" w:rsidTr="00F538D9">
        <w:tc>
          <w:tcPr>
            <w:tcW w:w="1465" w:type="pct"/>
            <w:tcBorders>
              <w:top w:val="single" w:sz="4" w:space="0" w:color="auto"/>
              <w:left w:val="single" w:sz="4" w:space="0" w:color="auto"/>
              <w:bottom w:val="single" w:sz="4" w:space="0" w:color="auto"/>
              <w:right w:val="single" w:sz="4" w:space="0" w:color="auto"/>
            </w:tcBorders>
          </w:tcPr>
          <w:p w:rsidR="008B67BB" w:rsidRDefault="00F538D9" w:rsidP="004F3892">
            <w:pPr>
              <w:spacing w:before="220" w:after="0" w:line="240" w:lineRule="auto"/>
              <w:ind w:left="737"/>
              <w:jc w:val="both"/>
              <w:rPr>
                <w:rFonts w:ascii="Arial" w:hAnsi="Arial" w:cs="Arial"/>
              </w:rPr>
            </w:pPr>
            <w:r>
              <w:rPr>
                <w:rFonts w:ascii="Arial" w:hAnsi="Arial" w:cs="Arial"/>
                <w:bCs/>
              </w:rPr>
              <w:t>IRRS</w:t>
            </w:r>
          </w:p>
        </w:tc>
        <w:tc>
          <w:tcPr>
            <w:tcW w:w="1782" w:type="pct"/>
            <w:tcBorders>
              <w:top w:val="single" w:sz="4" w:space="0" w:color="auto"/>
              <w:left w:val="single" w:sz="4" w:space="0" w:color="auto"/>
              <w:bottom w:val="single" w:sz="4" w:space="0" w:color="auto"/>
              <w:right w:val="single" w:sz="4" w:space="0" w:color="auto"/>
            </w:tcBorders>
          </w:tcPr>
          <w:p w:rsidR="004F3892" w:rsidRPr="00813C00" w:rsidRDefault="004F3892" w:rsidP="004F3892">
            <w:pPr>
              <w:spacing w:before="220" w:after="0" w:line="240" w:lineRule="auto"/>
              <w:jc w:val="both"/>
              <w:rPr>
                <w:rFonts w:ascii="Arial" w:hAnsi="Arial" w:cs="Arial"/>
                <w:bCs/>
              </w:rPr>
            </w:pPr>
            <w:r w:rsidRPr="004F3892">
              <w:rPr>
                <w:rFonts w:ascii="Arial" w:hAnsi="Arial" w:cs="Arial"/>
                <w:bCs/>
                <w:highlight w:val="yellow"/>
              </w:rPr>
              <w:fldChar w:fldCharType="begin"/>
            </w:r>
            <w:r w:rsidRPr="004F3892">
              <w:rPr>
                <w:rFonts w:ascii="Arial" w:hAnsi="Arial" w:cs="Arial"/>
                <w:bCs/>
                <w:highlight w:val="yellow"/>
              </w:rPr>
              <w:instrText xml:space="preserve"> DOCPROPERTY  Legal-Name  \* MERGEFORMAT </w:instrText>
            </w:r>
            <w:r w:rsidRPr="004F3892">
              <w:rPr>
                <w:rFonts w:ascii="Arial" w:hAnsi="Arial" w:cs="Arial"/>
                <w:bCs/>
                <w:highlight w:val="yellow"/>
              </w:rPr>
              <w:fldChar w:fldCharType="separate"/>
            </w:r>
            <w:r w:rsidRPr="004F3892">
              <w:rPr>
                <w:rFonts w:ascii="Arial" w:hAnsi="Arial" w:cs="Arial"/>
                <w:bCs/>
                <w:highlight w:val="yellow"/>
              </w:rPr>
              <w:t>Legal-Name</w:t>
            </w:r>
            <w:r w:rsidRPr="004F3892">
              <w:rPr>
                <w:rFonts w:ascii="Arial" w:hAnsi="Arial" w:cs="Arial"/>
                <w:bCs/>
                <w:highlight w:val="yellow"/>
              </w:rPr>
              <w:fldChar w:fldCharType="end"/>
            </w:r>
            <w:r w:rsidRPr="00813C00">
              <w:rPr>
                <w:rFonts w:ascii="Arial" w:hAnsi="Arial" w:cs="Arial"/>
                <w:bCs/>
              </w:rPr>
              <w:t xml:space="preserve"> agrees that the </w:t>
            </w:r>
            <w:r w:rsidR="00362F7F">
              <w:rPr>
                <w:rFonts w:ascii="Arial" w:hAnsi="Arial" w:cs="Arial"/>
                <w:bCs/>
              </w:rPr>
              <w:t>Purchasing</w:t>
            </w:r>
            <w:r w:rsidR="00E01E70">
              <w:rPr>
                <w:rFonts w:ascii="Arial" w:hAnsi="Arial" w:cs="Arial"/>
                <w:bCs/>
              </w:rPr>
              <w:t xml:space="preserve"> Agency</w:t>
            </w:r>
            <w:r w:rsidRPr="00813C00">
              <w:rPr>
                <w:rFonts w:ascii="Arial" w:hAnsi="Arial" w:cs="Arial"/>
                <w:bCs/>
              </w:rPr>
              <w:t xml:space="preserve"> may make information about this Agreement such as </w:t>
            </w:r>
            <w:r w:rsidRPr="00813C00">
              <w:rPr>
                <w:rFonts w:ascii="Arial" w:hAnsi="Arial" w:cs="Arial"/>
                <w:bCs/>
              </w:rPr>
              <w:fldChar w:fldCharType="begin"/>
            </w:r>
            <w:r w:rsidRPr="00813C00">
              <w:rPr>
                <w:rFonts w:ascii="Arial" w:hAnsi="Arial" w:cs="Arial"/>
                <w:bCs/>
              </w:rPr>
              <w:instrText xml:space="preserve"> DOCPROPERTY  Legal-Name  \* MERGEFORMAT </w:instrText>
            </w:r>
            <w:r w:rsidRPr="00813C00">
              <w:rPr>
                <w:rFonts w:ascii="Arial" w:hAnsi="Arial" w:cs="Arial"/>
                <w:bCs/>
              </w:rPr>
              <w:fldChar w:fldCharType="separate"/>
            </w:r>
            <w:r>
              <w:rPr>
                <w:rFonts w:ascii="Arial" w:hAnsi="Arial" w:cs="Arial"/>
                <w:bCs/>
              </w:rPr>
              <w:t>Legal-Name</w:t>
            </w:r>
            <w:r w:rsidRPr="00813C00">
              <w:rPr>
                <w:rFonts w:ascii="Arial" w:hAnsi="Arial" w:cs="Arial"/>
                <w:bCs/>
              </w:rPr>
              <w:fldChar w:fldCharType="end"/>
            </w:r>
            <w:r w:rsidRPr="00813C00">
              <w:rPr>
                <w:rFonts w:ascii="Arial" w:hAnsi="Arial" w:cs="Arial"/>
                <w:bCs/>
              </w:rPr>
              <w:t xml:space="preserve">’s name, level of funding and the nature of the Services including the region where the Services will be delivered, available to the public through the Ministry’s online mapping tool.  </w:t>
            </w:r>
          </w:p>
          <w:p w:rsidR="008B67BB" w:rsidRDefault="008B67BB" w:rsidP="00D71A22">
            <w:pPr>
              <w:rPr>
                <w:rFonts w:ascii="Arial" w:hAnsi="Arial" w:cs="Arial"/>
              </w:rPr>
            </w:pPr>
          </w:p>
        </w:tc>
        <w:tc>
          <w:tcPr>
            <w:tcW w:w="1753" w:type="pct"/>
            <w:tcBorders>
              <w:top w:val="single" w:sz="4" w:space="0" w:color="auto"/>
              <w:left w:val="single" w:sz="4" w:space="0" w:color="auto"/>
              <w:bottom w:val="single" w:sz="4" w:space="0" w:color="auto"/>
              <w:right w:val="single" w:sz="4" w:space="0" w:color="auto"/>
            </w:tcBorders>
          </w:tcPr>
          <w:p w:rsidR="008B67BB" w:rsidRDefault="00F538D9" w:rsidP="00D71A22">
            <w:pPr>
              <w:rPr>
                <w:rFonts w:ascii="Arial" w:hAnsi="Arial" w:cs="Arial"/>
              </w:rPr>
            </w:pPr>
            <w:r>
              <w:rPr>
                <w:rFonts w:ascii="Arial" w:hAnsi="Arial" w:cs="Arial"/>
              </w:rPr>
              <w:t>Public</w:t>
            </w:r>
          </w:p>
        </w:tc>
      </w:tr>
    </w:tbl>
    <w:p w:rsidR="008B67BB" w:rsidRDefault="008B67BB" w:rsidP="008B67BB"/>
    <w:p w:rsidR="002D4589" w:rsidRDefault="002D4589">
      <w:pPr>
        <w:rPr>
          <w:rFonts w:ascii="Arial" w:hAnsi="Arial" w:cs="Arial"/>
          <w:b/>
          <w:sz w:val="28"/>
          <w:szCs w:val="28"/>
          <w:u w:val="single"/>
        </w:rPr>
      </w:pPr>
      <w:r>
        <w:rPr>
          <w:rFonts w:ascii="Arial" w:hAnsi="Arial" w:cs="Arial"/>
          <w:b/>
          <w:sz w:val="28"/>
          <w:szCs w:val="28"/>
          <w:u w:val="single"/>
        </w:rPr>
        <w:br w:type="page"/>
      </w:r>
    </w:p>
    <w:p w:rsidR="002D4589" w:rsidRDefault="002D4589" w:rsidP="008B67BB">
      <w:pPr>
        <w:rPr>
          <w:rFonts w:ascii="Arial" w:hAnsi="Arial" w:cs="Arial"/>
          <w:b/>
          <w:sz w:val="28"/>
          <w:szCs w:val="28"/>
          <w:u w:val="single"/>
        </w:rPr>
      </w:pPr>
    </w:p>
    <w:p w:rsidR="008B67BB" w:rsidRDefault="008B67BB" w:rsidP="008B67BB">
      <w:pPr>
        <w:rPr>
          <w:rFonts w:ascii="Arial" w:hAnsi="Arial" w:cs="Arial"/>
          <w:b/>
          <w:sz w:val="28"/>
          <w:szCs w:val="28"/>
          <w:u w:val="single"/>
        </w:rPr>
      </w:pPr>
      <w:r w:rsidRPr="009E3708">
        <w:rPr>
          <w:rFonts w:ascii="Arial" w:hAnsi="Arial" w:cs="Arial"/>
          <w:b/>
          <w:sz w:val="28"/>
          <w:szCs w:val="28"/>
          <w:u w:val="single"/>
        </w:rPr>
        <w:t xml:space="preserve">Appendix </w:t>
      </w:r>
      <w:r w:rsidR="0093297D">
        <w:rPr>
          <w:rFonts w:ascii="Arial" w:hAnsi="Arial" w:cs="Arial"/>
          <w:b/>
          <w:sz w:val="28"/>
          <w:szCs w:val="28"/>
          <w:u w:val="single"/>
        </w:rPr>
        <w:t>9</w:t>
      </w:r>
      <w:r w:rsidRPr="009E3708">
        <w:rPr>
          <w:rFonts w:ascii="Arial" w:hAnsi="Arial" w:cs="Arial"/>
          <w:b/>
          <w:sz w:val="28"/>
          <w:szCs w:val="28"/>
          <w:u w:val="single"/>
        </w:rPr>
        <w:t xml:space="preserve"> –Service Specifications</w:t>
      </w:r>
    </w:p>
    <w:p w:rsidR="00AC5295" w:rsidRPr="00AC5295" w:rsidRDefault="00AC5295" w:rsidP="00AC5295">
      <w:pPr>
        <w:jc w:val="center"/>
        <w:rPr>
          <w:rFonts w:ascii="Arial" w:hAnsi="Arial" w:cs="Arial"/>
          <w:b/>
          <w:sz w:val="24"/>
          <w:szCs w:val="24"/>
          <w:u w:val="single"/>
        </w:rPr>
      </w:pPr>
      <w:r>
        <w:rPr>
          <w:rFonts w:ascii="Arial" w:hAnsi="Arial" w:cs="Arial"/>
          <w:b/>
          <w:sz w:val="24"/>
          <w:szCs w:val="24"/>
          <w:u w:val="single"/>
        </w:rPr>
        <w:t>IRRS SERVICES AND STANDARDS</w:t>
      </w:r>
    </w:p>
    <w:p w:rsidR="00CB5D1D" w:rsidRPr="00CB5D1D" w:rsidRDefault="00CB5D1D" w:rsidP="00CB5D1D">
      <w:pPr>
        <w:spacing w:after="0" w:line="240" w:lineRule="atLeast"/>
        <w:jc w:val="both"/>
        <w:rPr>
          <w:rFonts w:ascii="Arial" w:eastAsia="Times New Roman" w:hAnsi="Arial" w:cs="Arial"/>
          <w:szCs w:val="20"/>
          <w:lang w:val="en-GB"/>
        </w:rPr>
      </w:pPr>
      <w:bookmarkStart w:id="0" w:name="_Toc162671060"/>
      <w:bookmarkStart w:id="1" w:name="_Toc108932162"/>
      <w:bookmarkStart w:id="2" w:name="_Toc162671061"/>
      <w:bookmarkEnd w:id="0"/>
    </w:p>
    <w:p w:rsidR="00CB5D1D" w:rsidRDefault="00CB5D1D" w:rsidP="009E7A39">
      <w:pPr>
        <w:pStyle w:val="ListParagraph"/>
        <w:numPr>
          <w:ilvl w:val="0"/>
          <w:numId w:val="38"/>
        </w:numPr>
        <w:autoSpaceDE w:val="0"/>
        <w:autoSpaceDN w:val="0"/>
        <w:adjustRightInd w:val="0"/>
        <w:spacing w:after="0" w:line="240" w:lineRule="auto"/>
        <w:rPr>
          <w:rFonts w:ascii="Arial" w:hAnsi="Arial" w:cs="Arial"/>
          <w:b/>
        </w:rPr>
      </w:pPr>
      <w:r w:rsidRPr="0087625A">
        <w:rPr>
          <w:rFonts w:ascii="Arial" w:hAnsi="Arial" w:cs="Arial"/>
          <w:b/>
        </w:rPr>
        <w:t xml:space="preserve">Introduction </w:t>
      </w:r>
    </w:p>
    <w:p w:rsidR="0087625A" w:rsidRPr="0087625A" w:rsidRDefault="0087625A" w:rsidP="0087625A">
      <w:pPr>
        <w:pStyle w:val="ListParagraph"/>
        <w:autoSpaceDE w:val="0"/>
        <w:autoSpaceDN w:val="0"/>
        <w:adjustRightInd w:val="0"/>
        <w:spacing w:after="0" w:line="240" w:lineRule="auto"/>
        <w:ind w:left="567"/>
        <w:rPr>
          <w:rFonts w:ascii="Arial" w:hAnsi="Arial" w:cs="Arial"/>
          <w:b/>
        </w:rPr>
      </w:pPr>
    </w:p>
    <w:p w:rsidR="00CB5D1D" w:rsidRPr="00CB5D1D" w:rsidRDefault="00CB5D1D" w:rsidP="009E7A39">
      <w:pPr>
        <w:numPr>
          <w:ilvl w:val="1"/>
          <w:numId w:val="38"/>
        </w:numPr>
        <w:autoSpaceDE w:val="0"/>
        <w:autoSpaceDN w:val="0"/>
        <w:adjustRightInd w:val="0"/>
        <w:spacing w:after="0" w:line="240" w:lineRule="auto"/>
        <w:contextualSpacing/>
        <w:rPr>
          <w:rFonts w:ascii="Arial" w:eastAsiaTheme="minorHAnsi" w:hAnsi="Arial" w:cs="Arial"/>
        </w:rPr>
      </w:pPr>
      <w:r w:rsidRPr="00CB5D1D">
        <w:rPr>
          <w:rFonts w:ascii="Arial" w:eastAsiaTheme="minorHAnsi" w:hAnsi="Arial" w:cs="Arial"/>
        </w:rPr>
        <w:t xml:space="preserve">The Government is undertaking a significant Social Housing Reform Programme. As part of the Social Housing Reform Programme, the Government is introducing a regulatory and funding framework for Community Housing Providers. </w:t>
      </w:r>
    </w:p>
    <w:p w:rsidR="00CB5D1D" w:rsidRPr="00CB5D1D" w:rsidRDefault="00CB5D1D" w:rsidP="00CB5D1D">
      <w:pPr>
        <w:autoSpaceDE w:val="0"/>
        <w:autoSpaceDN w:val="0"/>
        <w:adjustRightInd w:val="0"/>
        <w:spacing w:after="0" w:line="240" w:lineRule="auto"/>
        <w:rPr>
          <w:rFonts w:ascii="Arial" w:eastAsiaTheme="minorHAnsi" w:hAnsi="Arial" w:cs="Arial"/>
        </w:rPr>
      </w:pPr>
    </w:p>
    <w:p w:rsidR="00CB5D1D" w:rsidRPr="00CB5D1D" w:rsidRDefault="00CB5D1D" w:rsidP="009E7A39">
      <w:pPr>
        <w:numPr>
          <w:ilvl w:val="1"/>
          <w:numId w:val="38"/>
        </w:numPr>
        <w:autoSpaceDE w:val="0"/>
        <w:autoSpaceDN w:val="0"/>
        <w:adjustRightInd w:val="0"/>
        <w:spacing w:after="0" w:line="240" w:lineRule="auto"/>
        <w:contextualSpacing/>
        <w:rPr>
          <w:rFonts w:ascii="Arial" w:eastAsiaTheme="minorHAnsi" w:hAnsi="Arial" w:cs="Arial"/>
        </w:rPr>
      </w:pPr>
      <w:r w:rsidRPr="00CB5D1D">
        <w:rPr>
          <w:rFonts w:ascii="Arial" w:eastAsiaTheme="minorHAnsi" w:hAnsi="Arial" w:cs="Arial"/>
        </w:rPr>
        <w:t>These Income Related Rent Subsidy Service specifications outline the service requirements for Community Housing Providers to receive In</w:t>
      </w:r>
      <w:r w:rsidR="006D0716">
        <w:rPr>
          <w:rFonts w:ascii="Arial" w:eastAsiaTheme="minorHAnsi" w:hAnsi="Arial" w:cs="Arial"/>
        </w:rPr>
        <w:t>come Related Rent Subsidies</w:t>
      </w:r>
    </w:p>
    <w:p w:rsidR="00CB5D1D" w:rsidRPr="00CB5D1D" w:rsidRDefault="00CB5D1D" w:rsidP="00CB5D1D">
      <w:pPr>
        <w:autoSpaceDE w:val="0"/>
        <w:autoSpaceDN w:val="0"/>
        <w:adjustRightInd w:val="0"/>
        <w:spacing w:after="0" w:line="240" w:lineRule="auto"/>
        <w:rPr>
          <w:rFonts w:ascii="Arial" w:eastAsiaTheme="minorHAnsi" w:hAnsi="Arial" w:cs="Arial"/>
        </w:rPr>
      </w:pPr>
    </w:p>
    <w:p w:rsidR="00CB5D1D" w:rsidRPr="0087625A" w:rsidRDefault="0087625A" w:rsidP="009E7A39">
      <w:pPr>
        <w:pStyle w:val="ListParagraph"/>
        <w:numPr>
          <w:ilvl w:val="0"/>
          <w:numId w:val="38"/>
        </w:numPr>
        <w:rPr>
          <w:rFonts w:ascii="Arial" w:hAnsi="Arial" w:cs="Arial"/>
          <w:b/>
        </w:rPr>
      </w:pPr>
      <w:r w:rsidRPr="0087625A">
        <w:rPr>
          <w:rFonts w:ascii="Arial" w:hAnsi="Arial" w:cs="Arial"/>
          <w:b/>
        </w:rPr>
        <w:t>Interpretation</w:t>
      </w:r>
    </w:p>
    <w:p w:rsidR="00CB5D1D" w:rsidRPr="00CB5D1D" w:rsidRDefault="00CB5D1D" w:rsidP="009E7A39">
      <w:pPr>
        <w:numPr>
          <w:ilvl w:val="1"/>
          <w:numId w:val="38"/>
        </w:numPr>
        <w:spacing w:after="0" w:line="240" w:lineRule="auto"/>
        <w:contextualSpacing/>
        <w:jc w:val="both"/>
        <w:rPr>
          <w:rFonts w:ascii="Arial" w:hAnsi="Arial" w:cs="Arial"/>
        </w:rPr>
      </w:pPr>
      <w:r w:rsidRPr="00CB5D1D">
        <w:rPr>
          <w:rFonts w:ascii="Arial" w:hAnsi="Arial" w:cs="Arial"/>
        </w:rPr>
        <w:t>In this Agreement the following words shall have the meanings set out below:</w:t>
      </w:r>
    </w:p>
    <w:p w:rsidR="00CB5D1D" w:rsidRPr="00CB5D1D" w:rsidRDefault="00CB5D1D" w:rsidP="009E7A39">
      <w:pPr>
        <w:numPr>
          <w:ilvl w:val="2"/>
          <w:numId w:val="38"/>
        </w:numPr>
        <w:contextualSpacing/>
        <w:jc w:val="both"/>
        <w:rPr>
          <w:rFonts w:ascii="Arial" w:hAnsi="Arial" w:cs="Arial"/>
        </w:rPr>
      </w:pPr>
      <w:r w:rsidRPr="00CB5D1D">
        <w:rPr>
          <w:rFonts w:ascii="Arial" w:hAnsi="Arial" w:cs="Arial"/>
        </w:rPr>
        <w:t>Class 1 Social Landlord has the same meaning as defined within the</w:t>
      </w:r>
      <w:r w:rsidRPr="00CB5D1D">
        <w:rPr>
          <w:rFonts w:ascii="Arial" w:eastAsiaTheme="minorHAnsi" w:hAnsi="Arial" w:cs="Arial"/>
        </w:rPr>
        <w:t xml:space="preserve"> Community Housing Providers Regulations 201</w:t>
      </w:r>
      <w:r w:rsidR="00233AF1">
        <w:rPr>
          <w:rFonts w:ascii="Arial" w:eastAsiaTheme="minorHAnsi" w:hAnsi="Arial" w:cs="Arial"/>
        </w:rPr>
        <w:t>4,</w:t>
      </w:r>
    </w:p>
    <w:p w:rsidR="00CB5D1D" w:rsidRPr="00CB5D1D" w:rsidRDefault="006D0716" w:rsidP="009E7A39">
      <w:pPr>
        <w:numPr>
          <w:ilvl w:val="2"/>
          <w:numId w:val="38"/>
        </w:numPr>
        <w:contextualSpacing/>
        <w:jc w:val="both"/>
        <w:rPr>
          <w:rFonts w:ascii="Arial" w:hAnsi="Arial" w:cs="Arial"/>
        </w:rPr>
      </w:pPr>
      <w:r>
        <w:rPr>
          <w:rFonts w:ascii="Arial" w:hAnsi="Arial" w:cs="Arial"/>
        </w:rPr>
        <w:t>IRR</w:t>
      </w:r>
      <w:r w:rsidR="00CB5D1D" w:rsidRPr="00CB5D1D">
        <w:rPr>
          <w:rFonts w:ascii="Arial" w:hAnsi="Arial" w:cs="Arial"/>
        </w:rPr>
        <w:t xml:space="preserve"> Client means a person that has been deemed eligible by MSD </w:t>
      </w:r>
      <w:r w:rsidR="00004EFA">
        <w:rPr>
          <w:rFonts w:ascii="Arial" w:hAnsi="Arial" w:cs="Arial"/>
        </w:rPr>
        <w:t>for a</w:t>
      </w:r>
      <w:r>
        <w:rPr>
          <w:rFonts w:ascii="Arial" w:hAnsi="Arial" w:cs="Arial"/>
        </w:rPr>
        <w:t xml:space="preserve"> </w:t>
      </w:r>
      <w:r w:rsidR="00CB5D1D" w:rsidRPr="00CB5D1D">
        <w:rPr>
          <w:rFonts w:ascii="Arial" w:hAnsi="Arial" w:cs="Arial"/>
        </w:rPr>
        <w:t>Income Related Rent Subsidy</w:t>
      </w:r>
      <w:r>
        <w:rPr>
          <w:rFonts w:ascii="Arial" w:hAnsi="Arial" w:cs="Arial"/>
        </w:rPr>
        <w:t xml:space="preserve"> </w:t>
      </w:r>
      <w:r w:rsidR="00004EFA">
        <w:rPr>
          <w:rFonts w:ascii="Arial" w:hAnsi="Arial" w:cs="Arial"/>
        </w:rPr>
        <w:t xml:space="preserve">to be paid </w:t>
      </w:r>
      <w:r>
        <w:rPr>
          <w:rFonts w:ascii="Arial" w:hAnsi="Arial" w:cs="Arial"/>
        </w:rPr>
        <w:t>on his or her behalf</w:t>
      </w:r>
      <w:r w:rsidR="00CB5D1D" w:rsidRPr="00CB5D1D">
        <w:rPr>
          <w:rFonts w:ascii="Arial" w:hAnsi="Arial" w:cs="Arial"/>
        </w:rPr>
        <w:t>,</w:t>
      </w:r>
    </w:p>
    <w:p w:rsidR="00CB5D1D" w:rsidRPr="00CB5D1D" w:rsidRDefault="006D0716" w:rsidP="009E7A39">
      <w:pPr>
        <w:numPr>
          <w:ilvl w:val="2"/>
          <w:numId w:val="38"/>
        </w:numPr>
        <w:contextualSpacing/>
        <w:jc w:val="both"/>
        <w:rPr>
          <w:rFonts w:ascii="Arial" w:hAnsi="Arial" w:cs="Arial"/>
        </w:rPr>
      </w:pPr>
      <w:r>
        <w:rPr>
          <w:rFonts w:ascii="Arial" w:hAnsi="Arial" w:cs="Arial"/>
        </w:rPr>
        <w:t>IRR</w:t>
      </w:r>
      <w:r w:rsidR="00CB5D1D" w:rsidRPr="00CB5D1D">
        <w:rPr>
          <w:rFonts w:ascii="Arial" w:hAnsi="Arial" w:cs="Arial"/>
        </w:rPr>
        <w:t xml:space="preserve"> Tenant means a </w:t>
      </w:r>
      <w:r w:rsidR="00004EFA">
        <w:rPr>
          <w:rFonts w:ascii="Arial" w:hAnsi="Arial" w:cs="Arial"/>
        </w:rPr>
        <w:t>IRR</w:t>
      </w:r>
      <w:r w:rsidR="00004EFA" w:rsidRPr="00CB5D1D">
        <w:rPr>
          <w:rFonts w:ascii="Arial" w:hAnsi="Arial" w:cs="Arial"/>
        </w:rPr>
        <w:t xml:space="preserve"> Client </w:t>
      </w:r>
      <w:r w:rsidR="00CB5D1D" w:rsidRPr="00CB5D1D">
        <w:rPr>
          <w:rFonts w:ascii="Arial" w:hAnsi="Arial" w:cs="Arial"/>
        </w:rPr>
        <w:t>who has enter</w:t>
      </w:r>
      <w:r w:rsidR="00155EF1">
        <w:rPr>
          <w:rFonts w:ascii="Arial" w:hAnsi="Arial" w:cs="Arial"/>
        </w:rPr>
        <w:t>ed</w:t>
      </w:r>
      <w:r w:rsidR="00CB5D1D" w:rsidRPr="00CB5D1D">
        <w:rPr>
          <w:rFonts w:ascii="Arial" w:hAnsi="Arial" w:cs="Arial"/>
        </w:rPr>
        <w:t xml:space="preserve"> into a tenancy agreement with the Provider,</w:t>
      </w:r>
    </w:p>
    <w:p w:rsidR="00CB5D1D" w:rsidRPr="00CB5D1D" w:rsidRDefault="00CB5D1D" w:rsidP="009E7A39">
      <w:pPr>
        <w:numPr>
          <w:ilvl w:val="2"/>
          <w:numId w:val="38"/>
        </w:numPr>
        <w:spacing w:before="120" w:after="120" w:line="360" w:lineRule="auto"/>
        <w:contextualSpacing/>
        <w:rPr>
          <w:rFonts w:ascii="Arial" w:hAnsi="Arial" w:cs="Arial"/>
        </w:rPr>
      </w:pPr>
      <w:r w:rsidRPr="00CB5D1D">
        <w:rPr>
          <w:rFonts w:ascii="Arial" w:hAnsi="Arial" w:cs="Arial"/>
          <w:bCs/>
          <w:color w:val="000000"/>
        </w:rPr>
        <w:t>MSD means the Ministry of Social Development,</w:t>
      </w:r>
    </w:p>
    <w:p w:rsidR="00CB5D1D" w:rsidRPr="00CB5D1D" w:rsidRDefault="00CB5D1D" w:rsidP="009E7A39">
      <w:pPr>
        <w:numPr>
          <w:ilvl w:val="2"/>
          <w:numId w:val="38"/>
        </w:numPr>
        <w:contextualSpacing/>
        <w:jc w:val="both"/>
        <w:rPr>
          <w:rFonts w:ascii="Arial" w:hAnsi="Arial" w:cs="Arial"/>
        </w:rPr>
      </w:pPr>
      <w:r w:rsidRPr="00CB5D1D">
        <w:rPr>
          <w:rFonts w:ascii="Arial" w:hAnsi="Arial" w:cs="Arial"/>
        </w:rPr>
        <w:t>Unless the context otherwise requires, the following rules of interpretation shall apply to these Services,</w:t>
      </w:r>
    </w:p>
    <w:p w:rsidR="00CB5D1D" w:rsidRPr="00CB5D1D" w:rsidRDefault="00CB5D1D" w:rsidP="009E7A39">
      <w:pPr>
        <w:numPr>
          <w:ilvl w:val="2"/>
          <w:numId w:val="38"/>
        </w:numPr>
        <w:contextualSpacing/>
        <w:jc w:val="both"/>
        <w:rPr>
          <w:rFonts w:ascii="Arial" w:hAnsi="Arial" w:cs="Arial"/>
        </w:rPr>
      </w:pPr>
      <w:r w:rsidRPr="00CB5D1D">
        <w:rPr>
          <w:rFonts w:ascii="Arial" w:hAnsi="Arial" w:cs="Arial"/>
        </w:rPr>
        <w:t>the singular inc</w:t>
      </w:r>
      <w:r w:rsidR="00A615C8">
        <w:rPr>
          <w:rFonts w:ascii="Arial" w:hAnsi="Arial" w:cs="Arial"/>
        </w:rPr>
        <w:t>ludes the plural and vice versa,</w:t>
      </w:r>
    </w:p>
    <w:p w:rsidR="00CB5D1D" w:rsidRPr="00CB5D1D" w:rsidRDefault="00CB5D1D" w:rsidP="009E7A39">
      <w:pPr>
        <w:numPr>
          <w:ilvl w:val="2"/>
          <w:numId w:val="38"/>
        </w:numPr>
        <w:contextualSpacing/>
        <w:jc w:val="both"/>
        <w:rPr>
          <w:rFonts w:ascii="Arial" w:hAnsi="Arial" w:cs="Arial"/>
        </w:rPr>
      </w:pPr>
      <w:r w:rsidRPr="00CB5D1D">
        <w:rPr>
          <w:rFonts w:ascii="Arial" w:hAnsi="Arial" w:cs="Arial"/>
        </w:rPr>
        <w:t>where a word or phrase is defined its other grammatical forms have a corresponding meaning; and,</w:t>
      </w:r>
    </w:p>
    <w:p w:rsidR="00CB5D1D" w:rsidRPr="00CB5D1D" w:rsidRDefault="00CB5D1D" w:rsidP="009E7A39">
      <w:pPr>
        <w:numPr>
          <w:ilvl w:val="1"/>
          <w:numId w:val="38"/>
        </w:numPr>
        <w:contextualSpacing/>
        <w:jc w:val="both"/>
        <w:rPr>
          <w:rFonts w:ascii="Arial" w:hAnsi="Arial" w:cs="Arial"/>
        </w:rPr>
      </w:pPr>
      <w:r w:rsidRPr="00CB5D1D">
        <w:rPr>
          <w:rFonts w:ascii="Arial" w:hAnsi="Arial" w:cs="Arial"/>
        </w:rPr>
        <w:t>a reference to any legislation includes any amendment, consolidation, re-enactment or replacement of that legislation.</w:t>
      </w:r>
    </w:p>
    <w:p w:rsidR="00CB5D1D" w:rsidRDefault="00CB5D1D" w:rsidP="00CB5D1D">
      <w:pPr>
        <w:spacing w:before="120" w:after="120" w:line="360" w:lineRule="auto"/>
        <w:ind w:left="720"/>
        <w:contextualSpacing/>
        <w:rPr>
          <w:rFonts w:ascii="Arial" w:hAnsi="Arial" w:cs="Arial"/>
          <w:b/>
        </w:rPr>
      </w:pPr>
    </w:p>
    <w:p w:rsidR="00CB5D1D" w:rsidRPr="0087625A" w:rsidRDefault="00CB5D1D" w:rsidP="009E7A39">
      <w:pPr>
        <w:pStyle w:val="ListParagraph"/>
        <w:numPr>
          <w:ilvl w:val="0"/>
          <w:numId w:val="38"/>
        </w:numPr>
        <w:spacing w:before="120" w:after="120" w:line="360" w:lineRule="auto"/>
        <w:rPr>
          <w:rFonts w:ascii="Arial" w:hAnsi="Arial" w:cs="Arial"/>
          <w:b/>
        </w:rPr>
      </w:pPr>
      <w:r w:rsidRPr="0087625A">
        <w:rPr>
          <w:rFonts w:ascii="Arial" w:hAnsi="Arial" w:cs="Arial"/>
          <w:b/>
        </w:rPr>
        <w:t>IRRS and Property Standards</w:t>
      </w:r>
    </w:p>
    <w:p w:rsidR="00520D80" w:rsidRDefault="00520D80" w:rsidP="00520D80">
      <w:pPr>
        <w:pStyle w:val="ListParagraph"/>
        <w:spacing w:before="120" w:after="120" w:line="360" w:lineRule="auto"/>
        <w:ind w:left="1134"/>
        <w:rPr>
          <w:rFonts w:ascii="Arial" w:hAnsi="Arial" w:cs="Arial"/>
        </w:rPr>
      </w:pPr>
    </w:p>
    <w:p w:rsidR="00B37F59" w:rsidRDefault="00CB5D1D" w:rsidP="009E7A39">
      <w:pPr>
        <w:pStyle w:val="ListParagraph"/>
        <w:numPr>
          <w:ilvl w:val="1"/>
          <w:numId w:val="38"/>
        </w:numPr>
        <w:spacing w:before="120" w:after="120" w:line="360" w:lineRule="auto"/>
        <w:rPr>
          <w:rFonts w:ascii="Arial" w:hAnsi="Arial" w:cs="Arial"/>
        </w:rPr>
      </w:pPr>
      <w:r w:rsidRPr="00520D80">
        <w:rPr>
          <w:rFonts w:ascii="Arial" w:hAnsi="Arial" w:cs="Arial"/>
        </w:rPr>
        <w:t xml:space="preserve">The Provider must maintain each </w:t>
      </w:r>
      <w:r w:rsidR="006D0716" w:rsidRPr="00520D80">
        <w:rPr>
          <w:rFonts w:ascii="Arial" w:hAnsi="Arial" w:cs="Arial"/>
        </w:rPr>
        <w:t>IRR Tenant</w:t>
      </w:r>
      <w:r w:rsidR="00155EF1" w:rsidRPr="00520D80">
        <w:rPr>
          <w:rFonts w:ascii="Arial" w:hAnsi="Arial" w:cs="Arial"/>
        </w:rPr>
        <w:t>’s p</w:t>
      </w:r>
      <w:r w:rsidRPr="00520D80">
        <w:rPr>
          <w:rFonts w:ascii="Arial" w:hAnsi="Arial" w:cs="Arial"/>
        </w:rPr>
        <w:t>roperty in accordance with the standards applicab</w:t>
      </w:r>
      <w:r w:rsidR="00FD44B3">
        <w:rPr>
          <w:rFonts w:ascii="Arial" w:hAnsi="Arial" w:cs="Arial"/>
        </w:rPr>
        <w:t>le to a Class 1 Social Landlord and complies with all relevant legislative requirements</w:t>
      </w:r>
      <w:r w:rsidR="000F5842">
        <w:rPr>
          <w:rFonts w:ascii="Arial" w:hAnsi="Arial" w:cs="Arial"/>
        </w:rPr>
        <w:t xml:space="preserve"> (including the Residential Tenancy Act 1986)</w:t>
      </w:r>
    </w:p>
    <w:p w:rsidR="00520D80" w:rsidRPr="00520D80" w:rsidRDefault="00520D80" w:rsidP="00520D80">
      <w:pPr>
        <w:pStyle w:val="ListParagraph"/>
        <w:rPr>
          <w:rFonts w:ascii="Arial" w:hAnsi="Arial" w:cs="Arial"/>
        </w:rPr>
      </w:pPr>
    </w:p>
    <w:p w:rsidR="001E1829" w:rsidRDefault="00CB5D1D" w:rsidP="00E45AA2">
      <w:pPr>
        <w:pStyle w:val="ListParagraph"/>
        <w:numPr>
          <w:ilvl w:val="1"/>
          <w:numId w:val="38"/>
        </w:numPr>
        <w:spacing w:before="120" w:after="120"/>
        <w:rPr>
          <w:rFonts w:ascii="Arial" w:hAnsi="Arial" w:cs="Arial"/>
        </w:rPr>
      </w:pPr>
      <w:r w:rsidRPr="009E7A39">
        <w:rPr>
          <w:rFonts w:ascii="Arial" w:hAnsi="Arial" w:cs="Arial"/>
        </w:rPr>
        <w:t>The Provider must maintain registration as a Class 1 Social Landlord during the term of the IRRS service. If the Provider does not maintain its registration the IRRS service may be suspended or terminated without notice.</w:t>
      </w:r>
    </w:p>
    <w:p w:rsidR="00E45AA2" w:rsidRDefault="00E45AA2" w:rsidP="00E45AA2">
      <w:pPr>
        <w:pStyle w:val="ListParagraph"/>
        <w:spacing w:before="120" w:after="120"/>
        <w:ind w:left="1134"/>
        <w:rPr>
          <w:rFonts w:ascii="Arial" w:hAnsi="Arial" w:cs="Arial"/>
        </w:rPr>
      </w:pPr>
    </w:p>
    <w:p w:rsidR="00746B9C" w:rsidRDefault="00CB5D1D" w:rsidP="00E45AA2">
      <w:pPr>
        <w:pStyle w:val="ListParagraph"/>
        <w:numPr>
          <w:ilvl w:val="1"/>
          <w:numId w:val="38"/>
        </w:numPr>
        <w:spacing w:before="120" w:after="120"/>
        <w:rPr>
          <w:rFonts w:ascii="Arial" w:hAnsi="Arial" w:cs="Arial"/>
        </w:rPr>
      </w:pPr>
      <w:r w:rsidRPr="009E7A39">
        <w:rPr>
          <w:rFonts w:ascii="Arial" w:hAnsi="Arial" w:cs="Arial"/>
        </w:rPr>
        <w:lastRenderedPageBreak/>
        <w:t xml:space="preserve">The Provider </w:t>
      </w:r>
      <w:r w:rsidR="00044C86">
        <w:rPr>
          <w:rFonts w:ascii="Arial" w:hAnsi="Arial" w:cs="Arial"/>
        </w:rPr>
        <w:t>will</w:t>
      </w:r>
      <w:r w:rsidRPr="009E7A39">
        <w:rPr>
          <w:rFonts w:ascii="Arial" w:hAnsi="Arial" w:cs="Arial"/>
        </w:rPr>
        <w:t xml:space="preserve"> notify the Purchasing Agency of </w:t>
      </w:r>
      <w:r w:rsidR="00CF5D42">
        <w:rPr>
          <w:rFonts w:ascii="Arial" w:hAnsi="Arial" w:cs="Arial"/>
        </w:rPr>
        <w:t>any properties that are about to become vacant or are due to become vacant</w:t>
      </w:r>
      <w:r w:rsidRPr="009E7A39">
        <w:rPr>
          <w:rFonts w:ascii="Arial" w:hAnsi="Arial" w:cs="Arial"/>
        </w:rPr>
        <w:t xml:space="preserve"> </w:t>
      </w:r>
      <w:r w:rsidR="006D0716" w:rsidRPr="009E7A39">
        <w:rPr>
          <w:rFonts w:ascii="Arial" w:hAnsi="Arial" w:cs="Arial"/>
        </w:rPr>
        <w:t>which would be suitable for IRR</w:t>
      </w:r>
      <w:r w:rsidRPr="009E7A39">
        <w:rPr>
          <w:rFonts w:ascii="Arial" w:hAnsi="Arial" w:cs="Arial"/>
        </w:rPr>
        <w:t xml:space="preserve"> </w:t>
      </w:r>
      <w:r w:rsidR="0091456F" w:rsidRPr="009E7A39">
        <w:rPr>
          <w:rFonts w:ascii="Arial" w:hAnsi="Arial" w:cs="Arial"/>
        </w:rPr>
        <w:t>clients.</w:t>
      </w:r>
      <w:r w:rsidR="0091456F">
        <w:rPr>
          <w:rFonts w:ascii="Arial" w:hAnsi="Arial" w:cs="Arial"/>
        </w:rPr>
        <w:t xml:space="preserve"> Notification of an intended vacancy should be no less than </w:t>
      </w:r>
      <w:r w:rsidR="003B3B6F">
        <w:rPr>
          <w:rFonts w:ascii="Arial" w:hAnsi="Arial" w:cs="Arial"/>
        </w:rPr>
        <w:t>(</w:t>
      </w:r>
      <w:r w:rsidR="0091456F">
        <w:rPr>
          <w:rFonts w:ascii="Arial" w:hAnsi="Arial" w:cs="Arial"/>
        </w:rPr>
        <w:t>7</w:t>
      </w:r>
      <w:r w:rsidR="003B3B6F">
        <w:rPr>
          <w:rFonts w:ascii="Arial" w:hAnsi="Arial" w:cs="Arial"/>
        </w:rPr>
        <w:t>)</w:t>
      </w:r>
      <w:r w:rsidR="0091456F">
        <w:rPr>
          <w:rFonts w:ascii="Arial" w:hAnsi="Arial" w:cs="Arial"/>
        </w:rPr>
        <w:t xml:space="preserve"> working days prior to the vacancy being available</w:t>
      </w:r>
      <w:r w:rsidRPr="009E7A39">
        <w:rPr>
          <w:rFonts w:ascii="Arial" w:hAnsi="Arial" w:cs="Arial"/>
        </w:rPr>
        <w:t xml:space="preserve"> In notifying the Purchasing Agency, the Provider will use the </w:t>
      </w:r>
      <w:r w:rsidR="0091456F">
        <w:rPr>
          <w:rFonts w:ascii="Arial" w:hAnsi="Arial" w:cs="Arial"/>
        </w:rPr>
        <w:t>Vacancy Notification Form</w:t>
      </w:r>
      <w:r w:rsidR="00737115">
        <w:rPr>
          <w:rFonts w:ascii="Arial" w:hAnsi="Arial" w:cs="Arial"/>
        </w:rPr>
        <w:t xml:space="preserve"> </w:t>
      </w:r>
      <w:r w:rsidRPr="009E7A39">
        <w:rPr>
          <w:rFonts w:ascii="Arial" w:hAnsi="Arial" w:cs="Arial"/>
        </w:rPr>
        <w:t>in supplying this information to the Purchasing Agency (Appendix A).</w:t>
      </w:r>
    </w:p>
    <w:p w:rsidR="00E45AA2" w:rsidRDefault="00E45AA2" w:rsidP="00E45AA2">
      <w:pPr>
        <w:pStyle w:val="ListParagraph"/>
        <w:spacing w:before="120" w:after="120"/>
        <w:ind w:left="1134"/>
        <w:rPr>
          <w:rFonts w:ascii="Arial" w:hAnsi="Arial" w:cs="Arial"/>
        </w:rPr>
      </w:pPr>
    </w:p>
    <w:p w:rsidR="00CB5D1D" w:rsidRPr="002D4F88" w:rsidRDefault="001E21ED" w:rsidP="00E45AA2">
      <w:pPr>
        <w:pStyle w:val="ListParagraph"/>
        <w:numPr>
          <w:ilvl w:val="1"/>
          <w:numId w:val="38"/>
        </w:numPr>
        <w:rPr>
          <w:rFonts w:ascii="Arial" w:hAnsi="Arial" w:cs="Arial"/>
        </w:rPr>
      </w:pPr>
      <w:r w:rsidRPr="002D4F88">
        <w:rPr>
          <w:rFonts w:ascii="Arial" w:hAnsi="Arial" w:cs="Arial"/>
        </w:rPr>
        <w:t>If the Purchasing Agency is not satisfied a particular property is suitable for an IRR Client, the Provider may not rent the property to an IRR Client.</w:t>
      </w:r>
      <w:r w:rsidRPr="002D4F88" w:rsidDel="001E21ED">
        <w:rPr>
          <w:rFonts w:ascii="Arial" w:hAnsi="Arial" w:cs="Arial"/>
        </w:rPr>
        <w:t xml:space="preserve"> </w:t>
      </w:r>
    </w:p>
    <w:p w:rsidR="002D4F88" w:rsidRPr="002D4F88" w:rsidRDefault="002D4F88" w:rsidP="00E45AA2">
      <w:pPr>
        <w:pStyle w:val="ListParagraph"/>
        <w:ind w:left="1134"/>
        <w:rPr>
          <w:rFonts w:ascii="Arial" w:hAnsi="Arial" w:cs="Arial"/>
        </w:rPr>
      </w:pPr>
    </w:p>
    <w:p w:rsidR="00E45AA2" w:rsidRPr="00E45AA2" w:rsidRDefault="00CB5D1D" w:rsidP="00E45AA2">
      <w:pPr>
        <w:pStyle w:val="ListParagraph"/>
        <w:numPr>
          <w:ilvl w:val="1"/>
          <w:numId w:val="38"/>
        </w:numPr>
        <w:spacing w:before="120" w:after="120"/>
        <w:rPr>
          <w:rFonts w:ascii="Arial" w:hAnsi="Arial" w:cs="Arial"/>
        </w:rPr>
      </w:pPr>
      <w:r w:rsidRPr="00CB5D1D">
        <w:rPr>
          <w:rFonts w:ascii="Arial" w:hAnsi="Arial" w:cs="Arial"/>
        </w:rPr>
        <w:t xml:space="preserve">The Purchasing Agency may refer </w:t>
      </w:r>
      <w:r w:rsidR="006D0716">
        <w:rPr>
          <w:rFonts w:ascii="Arial" w:hAnsi="Arial" w:cs="Arial"/>
        </w:rPr>
        <w:t>IRR Client</w:t>
      </w:r>
      <w:r w:rsidRPr="00CB5D1D">
        <w:rPr>
          <w:rFonts w:ascii="Arial" w:hAnsi="Arial" w:cs="Arial"/>
        </w:rPr>
        <w:t xml:space="preserve">s to the Provider to become possible </w:t>
      </w:r>
      <w:r w:rsidR="006D0716">
        <w:rPr>
          <w:rFonts w:ascii="Arial" w:hAnsi="Arial" w:cs="Arial"/>
        </w:rPr>
        <w:t>IRR Tenant</w:t>
      </w:r>
      <w:r w:rsidRPr="00CB5D1D">
        <w:rPr>
          <w:rFonts w:ascii="Arial" w:hAnsi="Arial" w:cs="Arial"/>
        </w:rPr>
        <w:t>s of the Provider. Only</w:t>
      </w:r>
      <w:r w:rsidR="00F5198F" w:rsidRPr="00F5198F">
        <w:rPr>
          <w:rFonts w:ascii="Arial" w:hAnsi="Arial" w:cs="Arial"/>
        </w:rPr>
        <w:t xml:space="preserve"> </w:t>
      </w:r>
      <w:r w:rsidR="00F5198F">
        <w:rPr>
          <w:rFonts w:ascii="Arial" w:hAnsi="Arial" w:cs="Arial"/>
        </w:rPr>
        <w:t>IRR Client</w:t>
      </w:r>
      <w:r w:rsidR="00F5198F" w:rsidRPr="00CB5D1D">
        <w:rPr>
          <w:rFonts w:ascii="Arial" w:hAnsi="Arial" w:cs="Arial"/>
        </w:rPr>
        <w:t>s</w:t>
      </w:r>
      <w:r w:rsidR="00F5198F">
        <w:rPr>
          <w:rFonts w:ascii="Arial" w:hAnsi="Arial" w:cs="Arial"/>
        </w:rPr>
        <w:t xml:space="preserve"> </w:t>
      </w:r>
      <w:r w:rsidRPr="00CB5D1D">
        <w:rPr>
          <w:rFonts w:ascii="Arial" w:hAnsi="Arial" w:cs="Arial"/>
        </w:rPr>
        <w:t xml:space="preserve">referred by the Purchasing Agency </w:t>
      </w:r>
      <w:r w:rsidR="00D378FC">
        <w:rPr>
          <w:rFonts w:ascii="Arial" w:hAnsi="Arial" w:cs="Arial"/>
        </w:rPr>
        <w:t>to the Provider will be eligible for IRRS service.</w:t>
      </w:r>
    </w:p>
    <w:p w:rsidR="00CB5D1D" w:rsidRDefault="00D378FC" w:rsidP="00E45AA2">
      <w:pPr>
        <w:numPr>
          <w:ilvl w:val="1"/>
          <w:numId w:val="38"/>
        </w:numPr>
        <w:spacing w:before="120" w:after="120"/>
        <w:contextualSpacing/>
        <w:rPr>
          <w:rFonts w:ascii="Arial" w:hAnsi="Arial" w:cs="Arial"/>
        </w:rPr>
      </w:pPr>
      <w:r w:rsidRPr="00E277A6">
        <w:rPr>
          <w:rFonts w:ascii="Arial" w:hAnsi="Arial" w:cs="Arial"/>
        </w:rPr>
        <w:t>The Provider cannot accept</w:t>
      </w:r>
      <w:r w:rsidR="00F9466E" w:rsidRPr="00E277A6">
        <w:rPr>
          <w:rFonts w:ascii="Arial" w:hAnsi="Arial" w:cs="Arial"/>
        </w:rPr>
        <w:t xml:space="preserve"> an</w:t>
      </w:r>
      <w:r w:rsidRPr="00E277A6">
        <w:rPr>
          <w:rFonts w:ascii="Arial" w:hAnsi="Arial" w:cs="Arial"/>
        </w:rPr>
        <w:t xml:space="preserve"> IRR Client that </w:t>
      </w:r>
      <w:r w:rsidR="00155EF1" w:rsidRPr="00E277A6">
        <w:rPr>
          <w:rFonts w:ascii="Arial" w:hAnsi="Arial" w:cs="Arial"/>
        </w:rPr>
        <w:t>has</w:t>
      </w:r>
      <w:r w:rsidRPr="00E277A6">
        <w:rPr>
          <w:rFonts w:ascii="Arial" w:hAnsi="Arial" w:cs="Arial"/>
        </w:rPr>
        <w:t xml:space="preserve"> been previously accommodated by </w:t>
      </w:r>
      <w:r w:rsidR="00A615C8" w:rsidRPr="00E277A6">
        <w:rPr>
          <w:rFonts w:ascii="Arial" w:hAnsi="Arial" w:cs="Arial"/>
        </w:rPr>
        <w:t>the Provider</w:t>
      </w:r>
      <w:r w:rsidR="00E277A6" w:rsidRPr="00E277A6">
        <w:rPr>
          <w:rFonts w:ascii="Arial" w:hAnsi="Arial" w:cs="Arial"/>
        </w:rPr>
        <w:t xml:space="preserve"> and was a non IRR Tenancy</w:t>
      </w:r>
      <w:r w:rsidR="00155EF1" w:rsidRPr="00E277A6">
        <w:rPr>
          <w:rFonts w:ascii="Arial" w:hAnsi="Arial" w:cs="Arial"/>
        </w:rPr>
        <w:t xml:space="preserve">, up to </w:t>
      </w:r>
      <w:r w:rsidRPr="00E277A6">
        <w:rPr>
          <w:rFonts w:ascii="Arial" w:hAnsi="Arial" w:cs="Arial"/>
        </w:rPr>
        <w:t xml:space="preserve">91 days </w:t>
      </w:r>
      <w:r w:rsidR="0059443D" w:rsidRPr="00E277A6">
        <w:rPr>
          <w:rFonts w:ascii="Arial" w:hAnsi="Arial" w:cs="Arial"/>
        </w:rPr>
        <w:t>prior.</w:t>
      </w:r>
      <w:r w:rsidR="00E277A6" w:rsidRPr="00E277A6">
        <w:rPr>
          <w:rFonts w:ascii="Arial" w:hAnsi="Arial" w:cs="Arial"/>
        </w:rPr>
        <w:t xml:space="preserve"> This clause does not apply to prior IRRS Tenancies or emergency housing.</w:t>
      </w:r>
      <w:r w:rsidR="00A615C8" w:rsidRPr="00E277A6">
        <w:rPr>
          <w:rFonts w:ascii="Arial" w:hAnsi="Arial" w:cs="Arial"/>
        </w:rPr>
        <w:t xml:space="preserve"> </w:t>
      </w:r>
      <w:r w:rsidR="00155EF1" w:rsidRPr="00E277A6">
        <w:rPr>
          <w:rFonts w:ascii="Arial" w:hAnsi="Arial" w:cs="Arial"/>
        </w:rPr>
        <w:t xml:space="preserve">The Purchasing Agency </w:t>
      </w:r>
      <w:r w:rsidR="0059443D" w:rsidRPr="00E277A6">
        <w:rPr>
          <w:rFonts w:ascii="Arial" w:hAnsi="Arial" w:cs="Arial"/>
        </w:rPr>
        <w:t>may grant an exemption to this clause in exceptional circumstances</w:t>
      </w:r>
      <w:r w:rsidRPr="00E277A6">
        <w:rPr>
          <w:rFonts w:ascii="Arial" w:hAnsi="Arial" w:cs="Arial"/>
        </w:rPr>
        <w:t>.</w:t>
      </w:r>
      <w:r w:rsidR="00E277A6" w:rsidRPr="00E277A6">
        <w:rPr>
          <w:rFonts w:ascii="Arial" w:hAnsi="Arial" w:cs="Arial"/>
        </w:rPr>
        <w:t xml:space="preserve"> </w:t>
      </w:r>
    </w:p>
    <w:p w:rsidR="00E45AA2" w:rsidRDefault="00E45AA2" w:rsidP="00E45AA2">
      <w:pPr>
        <w:spacing w:before="120" w:after="120"/>
        <w:ind w:left="1134"/>
        <w:contextualSpacing/>
        <w:rPr>
          <w:rFonts w:ascii="Arial" w:hAnsi="Arial" w:cs="Arial"/>
        </w:rPr>
      </w:pPr>
    </w:p>
    <w:p w:rsidR="00D378FC" w:rsidRDefault="00CB5D1D" w:rsidP="00E45AA2">
      <w:pPr>
        <w:numPr>
          <w:ilvl w:val="1"/>
          <w:numId w:val="38"/>
        </w:numPr>
        <w:spacing w:before="120" w:after="120"/>
        <w:contextualSpacing/>
        <w:rPr>
          <w:rFonts w:ascii="Arial" w:hAnsi="Arial" w:cs="Arial"/>
        </w:rPr>
      </w:pPr>
      <w:r w:rsidRPr="00CB5D1D">
        <w:rPr>
          <w:rFonts w:ascii="Arial" w:hAnsi="Arial" w:cs="Arial"/>
        </w:rPr>
        <w:t xml:space="preserve">The Purchasing Agency </w:t>
      </w:r>
      <w:r w:rsidR="00CC29C2">
        <w:rPr>
          <w:rFonts w:ascii="Arial" w:hAnsi="Arial" w:cs="Arial"/>
        </w:rPr>
        <w:t>does not</w:t>
      </w:r>
      <w:r w:rsidRPr="00CB5D1D">
        <w:rPr>
          <w:rFonts w:ascii="Arial" w:hAnsi="Arial" w:cs="Arial"/>
        </w:rPr>
        <w:t xml:space="preserve"> guarantee it will make</w:t>
      </w:r>
      <w:r w:rsidR="00CC29C2">
        <w:rPr>
          <w:rFonts w:ascii="Arial" w:hAnsi="Arial" w:cs="Arial"/>
        </w:rPr>
        <w:t xml:space="preserve"> any or a minimum number of </w:t>
      </w:r>
      <w:r w:rsidRPr="00CB5D1D">
        <w:rPr>
          <w:rFonts w:ascii="Arial" w:hAnsi="Arial" w:cs="Arial"/>
        </w:rPr>
        <w:t>referrals to the Provider</w:t>
      </w:r>
      <w:r w:rsidR="00CC29C2">
        <w:rPr>
          <w:rFonts w:ascii="Arial" w:hAnsi="Arial" w:cs="Arial"/>
        </w:rPr>
        <w:t>.</w:t>
      </w:r>
      <w:r w:rsidRPr="006623E3">
        <w:rPr>
          <w:rFonts w:ascii="Arial" w:hAnsi="Arial" w:cs="Arial"/>
        </w:rPr>
        <w:t xml:space="preserve"> </w:t>
      </w:r>
    </w:p>
    <w:p w:rsidR="00E45AA2" w:rsidRDefault="00E45AA2" w:rsidP="00E45AA2">
      <w:pPr>
        <w:spacing w:before="120" w:after="120"/>
        <w:contextualSpacing/>
        <w:rPr>
          <w:rFonts w:ascii="Arial" w:hAnsi="Arial" w:cs="Arial"/>
        </w:rPr>
      </w:pPr>
    </w:p>
    <w:p w:rsidR="00CB5D1D" w:rsidRDefault="00CB5D1D" w:rsidP="00E45AA2">
      <w:pPr>
        <w:numPr>
          <w:ilvl w:val="1"/>
          <w:numId w:val="38"/>
        </w:numPr>
        <w:spacing w:before="120" w:after="120"/>
        <w:contextualSpacing/>
        <w:rPr>
          <w:rFonts w:ascii="Arial" w:hAnsi="Arial" w:cs="Arial"/>
        </w:rPr>
      </w:pPr>
      <w:r w:rsidRPr="006623E3">
        <w:rPr>
          <w:rFonts w:ascii="Arial" w:hAnsi="Arial" w:cs="Arial"/>
        </w:rPr>
        <w:t>Th</w:t>
      </w:r>
      <w:r w:rsidR="00387B01">
        <w:rPr>
          <w:rFonts w:ascii="Arial" w:hAnsi="Arial" w:cs="Arial"/>
        </w:rPr>
        <w:t xml:space="preserve">e Provider must give </w:t>
      </w:r>
      <w:r w:rsidR="0059443D">
        <w:rPr>
          <w:rFonts w:ascii="Arial" w:hAnsi="Arial" w:cs="Arial"/>
        </w:rPr>
        <w:t xml:space="preserve">suitable </w:t>
      </w:r>
      <w:r w:rsidR="00387B01">
        <w:rPr>
          <w:rFonts w:ascii="Arial" w:hAnsi="Arial" w:cs="Arial"/>
        </w:rPr>
        <w:t>priority in</w:t>
      </w:r>
      <w:r w:rsidRPr="006623E3">
        <w:rPr>
          <w:rFonts w:ascii="Arial" w:hAnsi="Arial" w:cs="Arial"/>
        </w:rPr>
        <w:t xml:space="preserve"> providing tenancies for </w:t>
      </w:r>
      <w:r w:rsidR="006D0716">
        <w:rPr>
          <w:rFonts w:ascii="Arial" w:hAnsi="Arial" w:cs="Arial"/>
        </w:rPr>
        <w:t>IRR Client</w:t>
      </w:r>
      <w:r w:rsidRPr="006623E3">
        <w:rPr>
          <w:rFonts w:ascii="Arial" w:hAnsi="Arial" w:cs="Arial"/>
        </w:rPr>
        <w:t>s that th</w:t>
      </w:r>
      <w:r w:rsidRPr="00CB5D1D">
        <w:rPr>
          <w:rFonts w:ascii="Arial" w:hAnsi="Arial" w:cs="Arial"/>
        </w:rPr>
        <w:t>e Purchasing Agency has indicated as high</w:t>
      </w:r>
      <w:r w:rsidR="00387B01">
        <w:rPr>
          <w:rFonts w:ascii="Arial" w:hAnsi="Arial" w:cs="Arial"/>
        </w:rPr>
        <w:t xml:space="preserve"> priority</w:t>
      </w:r>
      <w:r w:rsidRPr="00CB5D1D">
        <w:rPr>
          <w:rFonts w:ascii="Arial" w:hAnsi="Arial" w:cs="Arial"/>
        </w:rPr>
        <w:t xml:space="preserve">. </w:t>
      </w:r>
    </w:p>
    <w:p w:rsidR="00E45AA2" w:rsidRPr="009E7A39" w:rsidRDefault="00E45AA2" w:rsidP="00E45AA2">
      <w:pPr>
        <w:spacing w:before="120" w:after="120"/>
        <w:contextualSpacing/>
        <w:rPr>
          <w:rFonts w:ascii="Arial" w:hAnsi="Arial" w:cs="Arial"/>
        </w:rPr>
      </w:pPr>
    </w:p>
    <w:p w:rsidR="00CB5D1D" w:rsidRDefault="00CB5D1D" w:rsidP="00E45AA2">
      <w:pPr>
        <w:numPr>
          <w:ilvl w:val="1"/>
          <w:numId w:val="38"/>
        </w:numPr>
        <w:contextualSpacing/>
        <w:rPr>
          <w:rFonts w:ascii="Arial" w:hAnsi="Arial" w:cs="Arial"/>
        </w:rPr>
      </w:pPr>
      <w:r w:rsidRPr="00CB5D1D">
        <w:rPr>
          <w:rFonts w:ascii="Arial" w:hAnsi="Arial" w:cs="Arial"/>
        </w:rPr>
        <w:t xml:space="preserve">Following receipt of a </w:t>
      </w:r>
      <w:r>
        <w:rPr>
          <w:rFonts w:ascii="Arial" w:hAnsi="Arial" w:cs="Arial"/>
        </w:rPr>
        <w:t>client referral</w:t>
      </w:r>
      <w:r w:rsidRPr="00CB5D1D">
        <w:rPr>
          <w:rFonts w:ascii="Arial" w:hAnsi="Arial" w:cs="Arial"/>
        </w:rPr>
        <w:t xml:space="preserve"> the Provider will contact the referred </w:t>
      </w:r>
      <w:r w:rsidR="006D0716">
        <w:rPr>
          <w:rFonts w:ascii="Arial" w:hAnsi="Arial" w:cs="Arial"/>
        </w:rPr>
        <w:t>IRR Client</w:t>
      </w:r>
      <w:r w:rsidRPr="00CB5D1D">
        <w:rPr>
          <w:rFonts w:ascii="Arial" w:hAnsi="Arial" w:cs="Arial"/>
        </w:rPr>
        <w:t xml:space="preserve"> to arrange an interview</w:t>
      </w:r>
      <w:r w:rsidR="00E277A6">
        <w:rPr>
          <w:rFonts w:ascii="Arial" w:hAnsi="Arial" w:cs="Arial"/>
        </w:rPr>
        <w:t xml:space="preserve"> or clients review</w:t>
      </w:r>
      <w:r>
        <w:rPr>
          <w:rFonts w:ascii="Arial" w:hAnsi="Arial" w:cs="Arial"/>
        </w:rPr>
        <w:t>;</w:t>
      </w:r>
      <w:r w:rsidRPr="00CB5D1D">
        <w:rPr>
          <w:rFonts w:ascii="Arial" w:hAnsi="Arial" w:cs="Arial"/>
        </w:rPr>
        <w:t xml:space="preserve"> following the interview the Provider will inform the Purchasing Agency whether the person is </w:t>
      </w:r>
      <w:r w:rsidR="00337C43">
        <w:rPr>
          <w:rFonts w:ascii="Arial" w:hAnsi="Arial" w:cs="Arial"/>
        </w:rPr>
        <w:t xml:space="preserve">an </w:t>
      </w:r>
      <w:r w:rsidR="0099241C">
        <w:rPr>
          <w:rFonts w:ascii="Arial" w:hAnsi="Arial" w:cs="Arial"/>
        </w:rPr>
        <w:t>acceptable</w:t>
      </w:r>
      <w:r w:rsidR="00337C43">
        <w:rPr>
          <w:rFonts w:ascii="Arial" w:hAnsi="Arial" w:cs="Arial"/>
        </w:rPr>
        <w:t xml:space="preserve"> tenant.</w:t>
      </w:r>
    </w:p>
    <w:p w:rsidR="00CB5D1D" w:rsidRDefault="00CB5D1D" w:rsidP="00E45AA2">
      <w:pPr>
        <w:ind w:left="567"/>
        <w:contextualSpacing/>
        <w:rPr>
          <w:rFonts w:ascii="Arial" w:hAnsi="Arial" w:cs="Arial"/>
        </w:rPr>
      </w:pPr>
    </w:p>
    <w:p w:rsidR="00CB5D1D" w:rsidRDefault="00CB5D1D" w:rsidP="00E45AA2">
      <w:pPr>
        <w:numPr>
          <w:ilvl w:val="1"/>
          <w:numId w:val="38"/>
        </w:numPr>
        <w:contextualSpacing/>
        <w:rPr>
          <w:rFonts w:ascii="Arial" w:hAnsi="Arial" w:cs="Arial"/>
        </w:rPr>
      </w:pPr>
      <w:r w:rsidRPr="00CB5D1D">
        <w:rPr>
          <w:rFonts w:ascii="Arial" w:hAnsi="Arial" w:cs="Arial"/>
        </w:rPr>
        <w:t>The Provider will notify t</w:t>
      </w:r>
      <w:r w:rsidR="00B37F59">
        <w:rPr>
          <w:rFonts w:ascii="Arial" w:hAnsi="Arial" w:cs="Arial"/>
        </w:rPr>
        <w:t>he Purchasing Agency whether a</w:t>
      </w:r>
      <w:r w:rsidRPr="00CB5D1D">
        <w:rPr>
          <w:rFonts w:ascii="Arial" w:hAnsi="Arial" w:cs="Arial"/>
        </w:rPr>
        <w:t xml:space="preserve"> referred</w:t>
      </w:r>
      <w:r>
        <w:rPr>
          <w:rFonts w:ascii="Arial" w:hAnsi="Arial" w:cs="Arial"/>
        </w:rPr>
        <w:t xml:space="preserve"> </w:t>
      </w:r>
      <w:r w:rsidR="006D0716">
        <w:rPr>
          <w:rFonts w:ascii="Arial" w:hAnsi="Arial" w:cs="Arial"/>
        </w:rPr>
        <w:t>IRR Client</w:t>
      </w:r>
      <w:r w:rsidRPr="00CB5D1D">
        <w:rPr>
          <w:rFonts w:ascii="Arial" w:hAnsi="Arial" w:cs="Arial"/>
        </w:rPr>
        <w:t xml:space="preserve"> is suitable </w:t>
      </w:r>
      <w:r w:rsidR="00E277A6">
        <w:rPr>
          <w:rFonts w:ascii="Arial" w:hAnsi="Arial" w:cs="Arial"/>
        </w:rPr>
        <w:t xml:space="preserve">as soon as possible and </w:t>
      </w:r>
      <w:r w:rsidRPr="00CB5D1D">
        <w:rPr>
          <w:rFonts w:ascii="Arial" w:hAnsi="Arial" w:cs="Arial"/>
        </w:rPr>
        <w:t>no later than</w:t>
      </w:r>
      <w:r w:rsidR="002D4589">
        <w:rPr>
          <w:rFonts w:ascii="Arial" w:hAnsi="Arial" w:cs="Arial"/>
        </w:rPr>
        <w:t xml:space="preserve"> ten</w:t>
      </w:r>
      <w:r w:rsidRPr="00CB5D1D">
        <w:rPr>
          <w:rFonts w:ascii="Arial" w:hAnsi="Arial" w:cs="Arial"/>
        </w:rPr>
        <w:t xml:space="preserve"> (</w:t>
      </w:r>
      <w:r w:rsidR="00E277A6">
        <w:rPr>
          <w:rFonts w:ascii="Arial" w:hAnsi="Arial" w:cs="Arial"/>
        </w:rPr>
        <w:t>10</w:t>
      </w:r>
      <w:r w:rsidRPr="00CB5D1D">
        <w:rPr>
          <w:rFonts w:ascii="Arial" w:hAnsi="Arial" w:cs="Arial"/>
        </w:rPr>
        <w:t>) working days following receipt of referral.</w:t>
      </w:r>
    </w:p>
    <w:p w:rsidR="00E45AA2" w:rsidRPr="009E7A39" w:rsidRDefault="00E45AA2" w:rsidP="00E45AA2">
      <w:pPr>
        <w:ind w:left="1134"/>
        <w:contextualSpacing/>
        <w:rPr>
          <w:rFonts w:ascii="Arial" w:hAnsi="Arial" w:cs="Arial"/>
        </w:rPr>
      </w:pPr>
    </w:p>
    <w:p w:rsidR="00CB5D1D" w:rsidRDefault="00CB5D1D" w:rsidP="00E45AA2">
      <w:pPr>
        <w:numPr>
          <w:ilvl w:val="1"/>
          <w:numId w:val="38"/>
        </w:numPr>
        <w:spacing w:before="120" w:after="120"/>
        <w:contextualSpacing/>
        <w:rPr>
          <w:rFonts w:ascii="Arial" w:hAnsi="Arial" w:cs="Arial"/>
        </w:rPr>
      </w:pPr>
      <w:r w:rsidRPr="00BE78FB">
        <w:rPr>
          <w:rFonts w:ascii="Arial" w:hAnsi="Arial" w:cs="Arial"/>
        </w:rPr>
        <w:t>The Provider must review the appropriateness of a propert</w:t>
      </w:r>
      <w:r w:rsidR="00E277A6" w:rsidRPr="00BE78FB">
        <w:rPr>
          <w:rFonts w:ascii="Arial" w:hAnsi="Arial" w:cs="Arial"/>
        </w:rPr>
        <w:t>y</w:t>
      </w:r>
      <w:r w:rsidRPr="00BE78FB">
        <w:rPr>
          <w:rFonts w:ascii="Arial" w:hAnsi="Arial" w:cs="Arial"/>
        </w:rPr>
        <w:t xml:space="preserve"> for a</w:t>
      </w:r>
      <w:r w:rsidR="00E277A6" w:rsidRPr="00BE78FB">
        <w:rPr>
          <w:rFonts w:ascii="Arial" w:hAnsi="Arial" w:cs="Arial"/>
        </w:rPr>
        <w:t>n</w:t>
      </w:r>
      <w:r w:rsidRPr="00BE78FB">
        <w:rPr>
          <w:rFonts w:ascii="Arial" w:hAnsi="Arial" w:cs="Arial"/>
        </w:rPr>
        <w:t xml:space="preserve"> </w:t>
      </w:r>
      <w:r w:rsidR="006D0716" w:rsidRPr="00BE78FB">
        <w:rPr>
          <w:rFonts w:ascii="Arial" w:hAnsi="Arial" w:cs="Arial"/>
        </w:rPr>
        <w:t>IRR Tenant</w:t>
      </w:r>
      <w:r w:rsidR="00BE78FB" w:rsidRPr="00BE78FB">
        <w:rPr>
          <w:rFonts w:ascii="Arial" w:hAnsi="Arial" w:cs="Arial"/>
        </w:rPr>
        <w:t xml:space="preserve"> </w:t>
      </w:r>
      <w:r w:rsidR="002D4589">
        <w:rPr>
          <w:rFonts w:ascii="Arial" w:hAnsi="Arial" w:cs="Arial"/>
        </w:rPr>
        <w:t>following</w:t>
      </w:r>
      <w:r w:rsidR="00BE78FB" w:rsidRPr="00BE78FB">
        <w:rPr>
          <w:rFonts w:ascii="Arial" w:hAnsi="Arial" w:cs="Arial"/>
        </w:rPr>
        <w:t xml:space="preserve"> direction from the Purchasing Agency</w:t>
      </w:r>
      <w:r w:rsidRPr="00BE78FB">
        <w:rPr>
          <w:rFonts w:ascii="Arial" w:hAnsi="Arial" w:cs="Arial"/>
        </w:rPr>
        <w:t xml:space="preserve">. </w:t>
      </w:r>
    </w:p>
    <w:p w:rsidR="00E45AA2" w:rsidRPr="00BE78FB" w:rsidRDefault="00E45AA2" w:rsidP="00E45AA2">
      <w:pPr>
        <w:spacing w:before="120" w:after="120"/>
        <w:contextualSpacing/>
        <w:rPr>
          <w:rFonts w:ascii="Arial" w:hAnsi="Arial" w:cs="Arial"/>
        </w:rPr>
      </w:pPr>
    </w:p>
    <w:p w:rsidR="00CB5D1D" w:rsidRPr="002D4F88" w:rsidRDefault="00CB5D1D" w:rsidP="00E45AA2">
      <w:pPr>
        <w:numPr>
          <w:ilvl w:val="1"/>
          <w:numId w:val="38"/>
        </w:numPr>
        <w:spacing w:before="120" w:after="120"/>
        <w:contextualSpacing/>
        <w:rPr>
          <w:rFonts w:ascii="Arial" w:hAnsi="Arial" w:cs="Arial"/>
        </w:rPr>
      </w:pPr>
      <w:r w:rsidRPr="00CB5D1D">
        <w:rPr>
          <w:rFonts w:ascii="Arial" w:hAnsi="Arial" w:cs="Arial"/>
        </w:rPr>
        <w:t>The Provide</w:t>
      </w:r>
      <w:r w:rsidR="003D14EA">
        <w:rPr>
          <w:rFonts w:ascii="Arial" w:hAnsi="Arial" w:cs="Arial"/>
        </w:rPr>
        <w:t xml:space="preserve">r </w:t>
      </w:r>
      <w:r w:rsidR="00203807">
        <w:rPr>
          <w:rFonts w:ascii="Arial" w:hAnsi="Arial" w:cs="Arial"/>
        </w:rPr>
        <w:t>can</w:t>
      </w:r>
      <w:r w:rsidR="003D14EA">
        <w:rPr>
          <w:rFonts w:ascii="Arial" w:hAnsi="Arial" w:cs="Arial"/>
        </w:rPr>
        <w:t xml:space="preserve"> submit a schedule of IRR</w:t>
      </w:r>
      <w:r w:rsidRPr="00CB5D1D">
        <w:rPr>
          <w:rFonts w:ascii="Arial" w:hAnsi="Arial" w:cs="Arial"/>
        </w:rPr>
        <w:t xml:space="preserve"> Tenancy market rent </w:t>
      </w:r>
      <w:r w:rsidR="002D4F88" w:rsidRPr="00CB5D1D">
        <w:rPr>
          <w:rFonts w:ascii="Arial" w:hAnsi="Arial" w:cs="Arial"/>
        </w:rPr>
        <w:t xml:space="preserve">reviews </w:t>
      </w:r>
      <w:r w:rsidR="002D4F88" w:rsidRPr="002D4F88">
        <w:rPr>
          <w:rFonts w:ascii="Arial" w:hAnsi="Arial" w:cs="Arial"/>
        </w:rPr>
        <w:t>to</w:t>
      </w:r>
      <w:r w:rsidRPr="002D4F88">
        <w:rPr>
          <w:rFonts w:ascii="Arial" w:hAnsi="Arial" w:cs="Arial"/>
        </w:rPr>
        <w:t xml:space="preserve"> the Purchasing Agency</w:t>
      </w:r>
      <w:r w:rsidR="00203807" w:rsidRPr="002D4F88">
        <w:rPr>
          <w:rFonts w:ascii="Arial" w:hAnsi="Arial" w:cs="Arial"/>
        </w:rPr>
        <w:t xml:space="preserve"> twice a year.</w:t>
      </w:r>
    </w:p>
    <w:p w:rsidR="005E21B1" w:rsidRPr="00CB5D1D" w:rsidRDefault="005E21B1" w:rsidP="00E45AA2">
      <w:pPr>
        <w:spacing w:before="120" w:after="120"/>
        <w:contextualSpacing/>
        <w:rPr>
          <w:rFonts w:ascii="Arial" w:hAnsi="Arial" w:cs="Arial"/>
        </w:rPr>
      </w:pPr>
    </w:p>
    <w:p w:rsidR="00CB5D1D" w:rsidRDefault="00CB5D1D" w:rsidP="009E7A39">
      <w:pPr>
        <w:numPr>
          <w:ilvl w:val="1"/>
          <w:numId w:val="38"/>
        </w:numPr>
        <w:contextualSpacing/>
        <w:rPr>
          <w:rFonts w:ascii="Arial" w:hAnsi="Arial" w:cs="Arial"/>
        </w:rPr>
      </w:pPr>
      <w:r w:rsidRPr="00CB5D1D">
        <w:rPr>
          <w:rFonts w:ascii="Arial" w:hAnsi="Arial" w:cs="Arial"/>
        </w:rPr>
        <w:t>Each</w:t>
      </w:r>
      <w:r w:rsidR="004835F8">
        <w:rPr>
          <w:rFonts w:ascii="Arial" w:hAnsi="Arial" w:cs="Arial"/>
        </w:rPr>
        <w:t xml:space="preserve"> m</w:t>
      </w:r>
      <w:r w:rsidR="002D4589">
        <w:rPr>
          <w:rFonts w:ascii="Arial" w:hAnsi="Arial" w:cs="Arial"/>
        </w:rPr>
        <w:t>arket</w:t>
      </w:r>
      <w:r w:rsidRPr="00CB5D1D">
        <w:rPr>
          <w:rFonts w:ascii="Arial" w:hAnsi="Arial" w:cs="Arial"/>
        </w:rPr>
        <w:t xml:space="preserve"> rent increase in relation to </w:t>
      </w:r>
      <w:r w:rsidR="00B37F59">
        <w:rPr>
          <w:rFonts w:ascii="Arial" w:hAnsi="Arial" w:cs="Arial"/>
        </w:rPr>
        <w:t xml:space="preserve">an </w:t>
      </w:r>
      <w:r w:rsidR="006D0716">
        <w:rPr>
          <w:rFonts w:ascii="Arial" w:hAnsi="Arial" w:cs="Arial"/>
        </w:rPr>
        <w:t>IRR</w:t>
      </w:r>
      <w:r w:rsidR="002D4589">
        <w:rPr>
          <w:rFonts w:ascii="Arial" w:hAnsi="Arial" w:cs="Arial"/>
        </w:rPr>
        <w:t>S</w:t>
      </w:r>
      <w:r w:rsidR="006D0716">
        <w:rPr>
          <w:rFonts w:ascii="Arial" w:hAnsi="Arial" w:cs="Arial"/>
        </w:rPr>
        <w:t xml:space="preserve"> Tenan</w:t>
      </w:r>
      <w:r w:rsidR="002D4589">
        <w:rPr>
          <w:rFonts w:ascii="Arial" w:hAnsi="Arial" w:cs="Arial"/>
        </w:rPr>
        <w:t>cy</w:t>
      </w:r>
      <w:r w:rsidRPr="00CB5D1D">
        <w:rPr>
          <w:rFonts w:ascii="Arial" w:hAnsi="Arial" w:cs="Arial"/>
        </w:rPr>
        <w:t xml:space="preserve"> must be approved by the Purchasing Agency.</w:t>
      </w:r>
      <w:r w:rsidR="00BE78FB">
        <w:rPr>
          <w:rFonts w:ascii="Arial" w:hAnsi="Arial" w:cs="Arial"/>
        </w:rPr>
        <w:t xml:space="preserve"> MSD will supply guidelines on the market rent process.</w:t>
      </w:r>
    </w:p>
    <w:p w:rsidR="00224E54" w:rsidRDefault="00224E54" w:rsidP="00224E54">
      <w:pPr>
        <w:pStyle w:val="ListParagraph"/>
        <w:numPr>
          <w:ilvl w:val="1"/>
          <w:numId w:val="38"/>
        </w:numPr>
        <w:spacing w:before="120" w:after="120" w:line="360" w:lineRule="auto"/>
        <w:rPr>
          <w:rFonts w:ascii="Arial" w:hAnsi="Arial" w:cs="Arial"/>
        </w:rPr>
      </w:pPr>
      <w:r>
        <w:rPr>
          <w:rFonts w:ascii="Arial" w:hAnsi="Arial" w:cs="Arial"/>
        </w:rPr>
        <w:t xml:space="preserve">The Provider must ensure that the property is available for an IRR </w:t>
      </w:r>
      <w:r w:rsidR="002D4589">
        <w:rPr>
          <w:rFonts w:ascii="Arial" w:hAnsi="Arial" w:cs="Arial"/>
        </w:rPr>
        <w:t>Tenant</w:t>
      </w:r>
      <w:r>
        <w:rPr>
          <w:rFonts w:ascii="Arial" w:hAnsi="Arial" w:cs="Arial"/>
        </w:rPr>
        <w:t xml:space="preserve"> to take possession on the start date of a tenancy agreement. If the property is not </w:t>
      </w:r>
      <w:r>
        <w:rPr>
          <w:rFonts w:ascii="Arial" w:hAnsi="Arial" w:cs="Arial"/>
        </w:rPr>
        <w:lastRenderedPageBreak/>
        <w:t>available by the start date, the Provider must provide suitable and satisfactory alternative accommodation until the property becomes available.</w:t>
      </w:r>
    </w:p>
    <w:p w:rsidR="00E45AA2" w:rsidRPr="00E45AA2" w:rsidRDefault="00E45AA2" w:rsidP="00E45AA2">
      <w:pPr>
        <w:pStyle w:val="ListParagraph"/>
        <w:rPr>
          <w:rFonts w:ascii="Arial" w:hAnsi="Arial" w:cs="Arial"/>
        </w:rPr>
      </w:pPr>
    </w:p>
    <w:p w:rsidR="00CB5D1D" w:rsidRPr="0087625A" w:rsidRDefault="00EE330F" w:rsidP="009E7A39">
      <w:pPr>
        <w:pStyle w:val="ListParagraph"/>
        <w:numPr>
          <w:ilvl w:val="0"/>
          <w:numId w:val="38"/>
        </w:numPr>
        <w:spacing w:before="120" w:after="120" w:line="360" w:lineRule="auto"/>
        <w:rPr>
          <w:rFonts w:ascii="Arial" w:hAnsi="Arial" w:cs="Arial"/>
          <w:b/>
        </w:rPr>
      </w:pPr>
      <w:r w:rsidRPr="0087625A">
        <w:rPr>
          <w:rFonts w:ascii="Arial" w:hAnsi="Arial" w:cs="Arial"/>
          <w:b/>
          <w:bCs/>
          <w:color w:val="000000"/>
        </w:rPr>
        <w:t>IRR</w:t>
      </w:r>
      <w:r w:rsidR="008F78C4" w:rsidRPr="0087625A">
        <w:rPr>
          <w:rFonts w:ascii="Arial" w:hAnsi="Arial" w:cs="Arial"/>
          <w:b/>
          <w:bCs/>
          <w:color w:val="000000"/>
        </w:rPr>
        <w:t xml:space="preserve">S </w:t>
      </w:r>
      <w:r w:rsidR="00CB5D1D" w:rsidRPr="0087625A">
        <w:rPr>
          <w:rFonts w:ascii="Arial" w:hAnsi="Arial" w:cs="Arial"/>
          <w:b/>
          <w:bCs/>
          <w:color w:val="000000"/>
        </w:rPr>
        <w:t xml:space="preserve"> Eligibility </w:t>
      </w:r>
    </w:p>
    <w:p w:rsidR="0087625A" w:rsidRPr="0091456F" w:rsidRDefault="00CB5D1D" w:rsidP="003B3B6F">
      <w:pPr>
        <w:spacing w:before="120" w:after="120" w:line="360" w:lineRule="auto"/>
        <w:ind w:left="1134"/>
        <w:contextualSpacing/>
        <w:rPr>
          <w:rFonts w:ascii="Arial" w:hAnsi="Arial" w:cs="Arial"/>
        </w:rPr>
      </w:pPr>
      <w:r w:rsidRPr="0091456F">
        <w:rPr>
          <w:rFonts w:ascii="Arial" w:hAnsi="Arial" w:cs="Arial"/>
        </w:rPr>
        <w:t>The Purc</w:t>
      </w:r>
      <w:r w:rsidR="006B6049" w:rsidRPr="003B3B6F">
        <w:rPr>
          <w:rFonts w:ascii="Arial" w:hAnsi="Arial" w:cs="Arial"/>
        </w:rPr>
        <w:t>hasing Agency will not pay a subsidy</w:t>
      </w:r>
      <w:r w:rsidRPr="003B3B6F">
        <w:rPr>
          <w:rFonts w:ascii="Arial" w:hAnsi="Arial" w:cs="Arial"/>
        </w:rPr>
        <w:t xml:space="preserve"> to the Provider in relation to an </w:t>
      </w:r>
      <w:r w:rsidR="006D0716" w:rsidRPr="00405870">
        <w:rPr>
          <w:rFonts w:ascii="Arial" w:hAnsi="Arial" w:cs="Arial"/>
        </w:rPr>
        <w:t>IRR Tenant</w:t>
      </w:r>
      <w:r w:rsidRPr="00405870">
        <w:rPr>
          <w:rFonts w:ascii="Arial" w:hAnsi="Arial" w:cs="Arial"/>
        </w:rPr>
        <w:t xml:space="preserve"> if </w:t>
      </w:r>
      <w:r w:rsidR="00B37F59" w:rsidRPr="0091456F">
        <w:rPr>
          <w:rFonts w:ascii="Arial" w:hAnsi="Arial" w:cs="Arial"/>
        </w:rPr>
        <w:t xml:space="preserve">and when </w:t>
      </w:r>
      <w:r w:rsidRPr="0091456F">
        <w:rPr>
          <w:rFonts w:ascii="Arial" w:hAnsi="Arial" w:cs="Arial"/>
        </w:rPr>
        <w:t xml:space="preserve">that tenancy ends, regardless of how the tenancy has ended. </w:t>
      </w:r>
    </w:p>
    <w:p w:rsidR="00CB5D1D" w:rsidRPr="00CB5D1D" w:rsidRDefault="00CB5D1D" w:rsidP="009E7A39">
      <w:pPr>
        <w:numPr>
          <w:ilvl w:val="1"/>
          <w:numId w:val="38"/>
        </w:numPr>
        <w:spacing w:before="120" w:after="120" w:line="360" w:lineRule="auto"/>
        <w:contextualSpacing/>
        <w:rPr>
          <w:rFonts w:ascii="Arial" w:hAnsi="Arial" w:cs="Arial"/>
        </w:rPr>
      </w:pPr>
      <w:r w:rsidRPr="00CB5D1D">
        <w:rPr>
          <w:rFonts w:ascii="Arial" w:hAnsi="Arial" w:cs="Arial"/>
        </w:rPr>
        <w:t>The Purchasing Agency will be under no obligation to make payment for any tenancy that was not been referred to the Provider by the Purchasing Agency.</w:t>
      </w:r>
    </w:p>
    <w:p w:rsidR="00CB5D1D" w:rsidRPr="00CB5D1D" w:rsidRDefault="00CB5D1D" w:rsidP="00CB5D1D">
      <w:pPr>
        <w:spacing w:before="120" w:after="120" w:line="360" w:lineRule="auto"/>
        <w:ind w:left="567"/>
        <w:contextualSpacing/>
        <w:rPr>
          <w:rFonts w:ascii="Arial" w:hAnsi="Arial" w:cs="Arial"/>
        </w:rPr>
      </w:pPr>
    </w:p>
    <w:p w:rsidR="00CB5D1D" w:rsidRPr="00CB5D1D" w:rsidRDefault="00525A12" w:rsidP="009E7A39">
      <w:pPr>
        <w:numPr>
          <w:ilvl w:val="1"/>
          <w:numId w:val="38"/>
        </w:numPr>
        <w:contextualSpacing/>
        <w:rPr>
          <w:rFonts w:ascii="Arial" w:hAnsi="Arial" w:cs="Arial"/>
        </w:rPr>
      </w:pPr>
      <w:r>
        <w:rPr>
          <w:rFonts w:ascii="Arial" w:hAnsi="Arial" w:cs="Arial"/>
        </w:rPr>
        <w:t>Where</w:t>
      </w:r>
      <w:r w:rsidR="00CB5D1D" w:rsidRPr="00CB5D1D">
        <w:rPr>
          <w:rFonts w:ascii="Arial" w:hAnsi="Arial" w:cs="Arial"/>
        </w:rPr>
        <w:t xml:space="preserve"> an </w:t>
      </w:r>
      <w:r w:rsidR="00F54CD9">
        <w:rPr>
          <w:rFonts w:ascii="Arial" w:hAnsi="Arial" w:cs="Arial"/>
        </w:rPr>
        <w:t>IRR Tenant</w:t>
      </w:r>
      <w:r w:rsidR="00CB5D1D" w:rsidRPr="00CB5D1D">
        <w:rPr>
          <w:rFonts w:ascii="Arial" w:hAnsi="Arial" w:cs="Arial"/>
        </w:rPr>
        <w:t xml:space="preserve"> is subsequently found after r</w:t>
      </w:r>
      <w:r w:rsidR="005E21B1">
        <w:rPr>
          <w:rFonts w:ascii="Arial" w:hAnsi="Arial" w:cs="Arial"/>
        </w:rPr>
        <w:t>eferral to be ineligible</w:t>
      </w:r>
      <w:r w:rsidR="00CB5D1D" w:rsidRPr="00CB5D1D">
        <w:rPr>
          <w:rFonts w:ascii="Arial" w:hAnsi="Arial" w:cs="Arial"/>
        </w:rPr>
        <w:t>, the Purchasing Agency will</w:t>
      </w:r>
      <w:r>
        <w:rPr>
          <w:rFonts w:ascii="Arial" w:hAnsi="Arial" w:cs="Arial"/>
        </w:rPr>
        <w:t xml:space="preserve"> within five working days of determining this </w:t>
      </w:r>
      <w:r w:rsidR="00216982">
        <w:rPr>
          <w:rFonts w:ascii="Arial" w:hAnsi="Arial" w:cs="Arial"/>
        </w:rPr>
        <w:t>ineligibility</w:t>
      </w:r>
      <w:r w:rsidR="00216982" w:rsidRPr="00CB5D1D">
        <w:rPr>
          <w:rFonts w:ascii="Arial" w:hAnsi="Arial" w:cs="Arial"/>
        </w:rPr>
        <w:t xml:space="preserve"> </w:t>
      </w:r>
      <w:r w:rsidR="00216982">
        <w:rPr>
          <w:rFonts w:ascii="Arial" w:hAnsi="Arial" w:cs="Arial"/>
        </w:rPr>
        <w:t>inform</w:t>
      </w:r>
      <w:r w:rsidR="00CB5D1D" w:rsidRPr="00CB5D1D">
        <w:rPr>
          <w:rFonts w:ascii="Arial" w:hAnsi="Arial" w:cs="Arial"/>
        </w:rPr>
        <w:t xml:space="preserve"> the Provider </w:t>
      </w:r>
      <w:r>
        <w:rPr>
          <w:rFonts w:ascii="Arial" w:hAnsi="Arial" w:cs="Arial"/>
        </w:rPr>
        <w:t>of</w:t>
      </w:r>
      <w:r w:rsidR="00CB5D1D" w:rsidRPr="00CB5D1D">
        <w:rPr>
          <w:rFonts w:ascii="Arial" w:hAnsi="Arial" w:cs="Arial"/>
        </w:rPr>
        <w:t xml:space="preserve"> the </w:t>
      </w:r>
      <w:r w:rsidR="006D0716">
        <w:rPr>
          <w:rFonts w:ascii="Arial" w:hAnsi="Arial" w:cs="Arial"/>
        </w:rPr>
        <w:t>IRR Client</w:t>
      </w:r>
      <w:r>
        <w:rPr>
          <w:rFonts w:ascii="Arial" w:hAnsi="Arial" w:cs="Arial"/>
        </w:rPr>
        <w:t>s ineligibility</w:t>
      </w:r>
      <w:r w:rsidR="003D14EA">
        <w:rPr>
          <w:rFonts w:ascii="Arial" w:hAnsi="Arial" w:cs="Arial"/>
        </w:rPr>
        <w:t xml:space="preserve"> and </w:t>
      </w:r>
      <w:r w:rsidR="005E21B1">
        <w:rPr>
          <w:rFonts w:ascii="Arial" w:hAnsi="Arial" w:cs="Arial"/>
        </w:rPr>
        <w:t xml:space="preserve">when </w:t>
      </w:r>
      <w:r w:rsidR="005E21B1" w:rsidRPr="004D5C8A">
        <w:rPr>
          <w:rFonts w:ascii="Arial" w:hAnsi="Arial" w:cs="Arial"/>
        </w:rPr>
        <w:t xml:space="preserve">the </w:t>
      </w:r>
      <w:r w:rsidR="006B6049" w:rsidRPr="004D5C8A">
        <w:rPr>
          <w:rFonts w:ascii="Arial" w:hAnsi="Arial" w:cs="Arial"/>
        </w:rPr>
        <w:t>subsidy</w:t>
      </w:r>
      <w:r w:rsidR="005E21B1" w:rsidRPr="004D5C8A">
        <w:rPr>
          <w:rFonts w:ascii="Arial" w:hAnsi="Arial" w:cs="Arial"/>
        </w:rPr>
        <w:t xml:space="preserve"> </w:t>
      </w:r>
      <w:r>
        <w:rPr>
          <w:rFonts w:ascii="Arial" w:hAnsi="Arial" w:cs="Arial"/>
        </w:rPr>
        <w:t xml:space="preserve">for </w:t>
      </w:r>
      <w:r w:rsidR="005E21B1">
        <w:rPr>
          <w:rFonts w:ascii="Arial" w:hAnsi="Arial" w:cs="Arial"/>
        </w:rPr>
        <w:t xml:space="preserve">that IRR </w:t>
      </w:r>
      <w:r w:rsidR="00F54CD9">
        <w:rPr>
          <w:rFonts w:ascii="Arial" w:hAnsi="Arial" w:cs="Arial"/>
        </w:rPr>
        <w:t>C</w:t>
      </w:r>
      <w:r w:rsidR="005E21B1">
        <w:rPr>
          <w:rFonts w:ascii="Arial" w:hAnsi="Arial" w:cs="Arial"/>
        </w:rPr>
        <w:t>lient will finish</w:t>
      </w:r>
      <w:r w:rsidR="00CB5D1D" w:rsidRPr="00CB5D1D">
        <w:rPr>
          <w:rFonts w:ascii="Arial" w:hAnsi="Arial" w:cs="Arial"/>
        </w:rPr>
        <w:t xml:space="preserve">. </w:t>
      </w:r>
      <w:r w:rsidR="00216982">
        <w:rPr>
          <w:rFonts w:ascii="Arial" w:hAnsi="Arial" w:cs="Arial"/>
        </w:rPr>
        <w:t xml:space="preserve">The time between notification and termination date </w:t>
      </w:r>
      <w:r w:rsidR="00CD22C0">
        <w:rPr>
          <w:rFonts w:ascii="Arial" w:hAnsi="Arial" w:cs="Arial"/>
        </w:rPr>
        <w:t xml:space="preserve">shall be </w:t>
      </w:r>
      <w:r w:rsidR="00216982">
        <w:rPr>
          <w:rFonts w:ascii="Arial" w:hAnsi="Arial" w:cs="Arial"/>
        </w:rPr>
        <w:t xml:space="preserve">the period of notice for the tenancy termination under the RTA plus </w:t>
      </w:r>
      <w:r w:rsidR="002D4589">
        <w:rPr>
          <w:rFonts w:ascii="Arial" w:hAnsi="Arial" w:cs="Arial"/>
        </w:rPr>
        <w:t xml:space="preserve">ten </w:t>
      </w:r>
      <w:r w:rsidR="00216982">
        <w:rPr>
          <w:rFonts w:ascii="Arial" w:hAnsi="Arial" w:cs="Arial"/>
        </w:rPr>
        <w:t>(</w:t>
      </w:r>
      <w:r w:rsidR="005E6776">
        <w:rPr>
          <w:rFonts w:ascii="Arial" w:hAnsi="Arial" w:cs="Arial"/>
        </w:rPr>
        <w:t>10</w:t>
      </w:r>
      <w:r w:rsidR="00216982">
        <w:rPr>
          <w:rFonts w:ascii="Arial" w:hAnsi="Arial" w:cs="Arial"/>
        </w:rPr>
        <w:t>) working days.</w:t>
      </w:r>
    </w:p>
    <w:p w:rsidR="00CB5D1D" w:rsidRPr="00CB5D1D" w:rsidRDefault="00CB5D1D" w:rsidP="00CB5D1D">
      <w:pPr>
        <w:spacing w:before="120" w:after="120"/>
        <w:ind w:left="720"/>
        <w:contextualSpacing/>
        <w:rPr>
          <w:rFonts w:ascii="Arial" w:hAnsi="Arial" w:cs="Arial"/>
        </w:rPr>
      </w:pPr>
    </w:p>
    <w:p w:rsidR="0087625A" w:rsidRDefault="00F54CD9" w:rsidP="0087625A">
      <w:pPr>
        <w:numPr>
          <w:ilvl w:val="1"/>
          <w:numId w:val="38"/>
        </w:numPr>
        <w:spacing w:before="120" w:after="120" w:line="360" w:lineRule="auto"/>
        <w:contextualSpacing/>
        <w:rPr>
          <w:rFonts w:ascii="Arial" w:hAnsi="Arial" w:cs="Arial"/>
        </w:rPr>
      </w:pPr>
      <w:r w:rsidRPr="0087625A">
        <w:rPr>
          <w:rFonts w:ascii="Arial" w:hAnsi="Arial" w:cs="Arial"/>
        </w:rPr>
        <w:t>The Provider,</w:t>
      </w:r>
      <w:r w:rsidR="00C7585C" w:rsidRPr="0087625A">
        <w:rPr>
          <w:rFonts w:ascii="Arial" w:hAnsi="Arial" w:cs="Arial"/>
        </w:rPr>
        <w:t xml:space="preserve"> </w:t>
      </w:r>
      <w:r w:rsidR="00CE28EA" w:rsidRPr="0087625A">
        <w:rPr>
          <w:rFonts w:ascii="Arial" w:hAnsi="Arial" w:cs="Arial"/>
        </w:rPr>
        <w:t>u</w:t>
      </w:r>
      <w:r w:rsidR="005E21B1" w:rsidRPr="0087625A">
        <w:rPr>
          <w:rFonts w:ascii="Arial" w:hAnsi="Arial" w:cs="Arial"/>
        </w:rPr>
        <w:t xml:space="preserve">pon receiving notice </w:t>
      </w:r>
      <w:r w:rsidR="00CE28EA" w:rsidRPr="0087625A">
        <w:rPr>
          <w:rFonts w:ascii="Arial" w:hAnsi="Arial" w:cs="Arial"/>
        </w:rPr>
        <w:t xml:space="preserve">from the Purchasing Agency under clause </w:t>
      </w:r>
      <w:r w:rsidR="005655FB" w:rsidRPr="0087625A">
        <w:rPr>
          <w:rFonts w:ascii="Arial" w:hAnsi="Arial" w:cs="Arial"/>
        </w:rPr>
        <w:t>4.3</w:t>
      </w:r>
      <w:r w:rsidRPr="0087625A">
        <w:rPr>
          <w:rFonts w:ascii="Arial" w:hAnsi="Arial" w:cs="Arial"/>
        </w:rPr>
        <w:t xml:space="preserve">, will </w:t>
      </w:r>
      <w:r w:rsidR="00CE28EA" w:rsidRPr="0087625A">
        <w:rPr>
          <w:rFonts w:ascii="Arial" w:hAnsi="Arial" w:cs="Arial"/>
        </w:rPr>
        <w:t>inform the relevant IRR Clie</w:t>
      </w:r>
      <w:r w:rsidRPr="0087625A">
        <w:rPr>
          <w:rFonts w:ascii="Arial" w:hAnsi="Arial" w:cs="Arial"/>
        </w:rPr>
        <w:t>nt</w:t>
      </w:r>
      <w:r w:rsidR="001E21ED" w:rsidRPr="0087625A">
        <w:rPr>
          <w:rFonts w:ascii="Arial" w:hAnsi="Arial" w:cs="Arial"/>
        </w:rPr>
        <w:t xml:space="preserve"> within </w:t>
      </w:r>
      <w:r w:rsidR="002D4589" w:rsidRPr="0087625A">
        <w:rPr>
          <w:rFonts w:ascii="Arial" w:hAnsi="Arial" w:cs="Arial"/>
        </w:rPr>
        <w:t>five (</w:t>
      </w:r>
      <w:r w:rsidR="001E21ED" w:rsidRPr="0087625A">
        <w:rPr>
          <w:rFonts w:ascii="Arial" w:hAnsi="Arial" w:cs="Arial"/>
        </w:rPr>
        <w:t>5</w:t>
      </w:r>
      <w:r w:rsidR="002D4589" w:rsidRPr="0087625A">
        <w:rPr>
          <w:rFonts w:ascii="Arial" w:hAnsi="Arial" w:cs="Arial"/>
        </w:rPr>
        <w:t>)</w:t>
      </w:r>
      <w:r w:rsidR="001E21ED" w:rsidRPr="0087625A">
        <w:rPr>
          <w:rFonts w:ascii="Arial" w:hAnsi="Arial" w:cs="Arial"/>
        </w:rPr>
        <w:t xml:space="preserve"> working days</w:t>
      </w:r>
      <w:r w:rsidRPr="0087625A">
        <w:rPr>
          <w:rFonts w:ascii="Arial" w:hAnsi="Arial" w:cs="Arial"/>
        </w:rPr>
        <w:t xml:space="preserve"> th</w:t>
      </w:r>
      <w:r w:rsidR="00992D1C" w:rsidRPr="0087625A">
        <w:rPr>
          <w:rFonts w:ascii="Arial" w:hAnsi="Arial" w:cs="Arial"/>
        </w:rPr>
        <w:t>at he or she is</w:t>
      </w:r>
      <w:r w:rsidR="00CE28EA" w:rsidRPr="0087625A">
        <w:rPr>
          <w:rFonts w:ascii="Arial" w:hAnsi="Arial" w:cs="Arial"/>
        </w:rPr>
        <w:t xml:space="preserve"> no longer </w:t>
      </w:r>
      <w:r w:rsidRPr="0087625A">
        <w:rPr>
          <w:rFonts w:ascii="Arial" w:hAnsi="Arial" w:cs="Arial"/>
        </w:rPr>
        <w:t>eligible to be an IRR Clien</w:t>
      </w:r>
      <w:r w:rsidR="00337C43" w:rsidRPr="0087625A">
        <w:rPr>
          <w:rFonts w:ascii="Arial" w:hAnsi="Arial" w:cs="Arial"/>
        </w:rPr>
        <w:t>t</w:t>
      </w:r>
      <w:r w:rsidR="00992D1C" w:rsidRPr="0087625A">
        <w:rPr>
          <w:rFonts w:ascii="Arial" w:hAnsi="Arial" w:cs="Arial"/>
        </w:rPr>
        <w:t xml:space="preserve"> and </w:t>
      </w:r>
      <w:r w:rsidR="00337C43" w:rsidRPr="0087625A">
        <w:rPr>
          <w:rFonts w:ascii="Arial" w:hAnsi="Arial" w:cs="Arial"/>
        </w:rPr>
        <w:t>his or her rent will no longer be subsidised.</w:t>
      </w:r>
    </w:p>
    <w:p w:rsidR="0087625A" w:rsidRDefault="0087625A" w:rsidP="0087625A">
      <w:pPr>
        <w:spacing w:before="120" w:after="120" w:line="360" w:lineRule="auto"/>
        <w:contextualSpacing/>
        <w:rPr>
          <w:rFonts w:ascii="Arial" w:hAnsi="Arial" w:cs="Arial"/>
        </w:rPr>
      </w:pPr>
    </w:p>
    <w:p w:rsidR="002F651D" w:rsidRPr="00992D1C" w:rsidRDefault="003D14EA" w:rsidP="009E7A39">
      <w:pPr>
        <w:numPr>
          <w:ilvl w:val="1"/>
          <w:numId w:val="38"/>
        </w:numPr>
        <w:spacing w:before="120" w:after="120" w:line="360" w:lineRule="auto"/>
        <w:contextualSpacing/>
        <w:rPr>
          <w:rFonts w:ascii="Arial" w:hAnsi="Arial" w:cs="Arial"/>
        </w:rPr>
      </w:pPr>
      <w:r w:rsidRPr="00992D1C">
        <w:rPr>
          <w:rFonts w:ascii="Arial" w:hAnsi="Arial" w:cs="Arial"/>
        </w:rPr>
        <w:t xml:space="preserve">Upon receiving notice </w:t>
      </w:r>
      <w:r w:rsidR="005655FB" w:rsidRPr="00992D1C">
        <w:rPr>
          <w:rFonts w:ascii="Arial" w:hAnsi="Arial" w:cs="Arial"/>
        </w:rPr>
        <w:t>under clause 4.</w:t>
      </w:r>
      <w:r w:rsidR="00337C43" w:rsidRPr="00992D1C">
        <w:rPr>
          <w:rFonts w:ascii="Arial" w:hAnsi="Arial" w:cs="Arial"/>
        </w:rPr>
        <w:t>3,</w:t>
      </w:r>
      <w:r w:rsidRPr="00992D1C">
        <w:rPr>
          <w:rFonts w:ascii="Arial" w:hAnsi="Arial" w:cs="Arial"/>
        </w:rPr>
        <w:t xml:space="preserve"> </w:t>
      </w:r>
      <w:r w:rsidR="001F4276" w:rsidRPr="00992D1C">
        <w:rPr>
          <w:rFonts w:ascii="Arial" w:hAnsi="Arial" w:cs="Arial"/>
        </w:rPr>
        <w:t>t</w:t>
      </w:r>
      <w:r w:rsidR="00CB5D1D" w:rsidRPr="00992D1C">
        <w:rPr>
          <w:rFonts w:ascii="Arial" w:hAnsi="Arial" w:cs="Arial"/>
        </w:rPr>
        <w:t>he Provider may</w:t>
      </w:r>
      <w:r w:rsidR="0059443D" w:rsidRPr="00992D1C">
        <w:rPr>
          <w:rFonts w:ascii="Arial" w:hAnsi="Arial" w:cs="Arial"/>
        </w:rPr>
        <w:t>,</w:t>
      </w:r>
      <w:r w:rsidR="00CB5D1D" w:rsidRPr="00992D1C">
        <w:rPr>
          <w:rFonts w:ascii="Arial" w:hAnsi="Arial" w:cs="Arial"/>
        </w:rPr>
        <w:t xml:space="preserve"> </w:t>
      </w:r>
      <w:r w:rsidR="0059443D" w:rsidRPr="00992D1C">
        <w:rPr>
          <w:rFonts w:ascii="Arial" w:hAnsi="Arial" w:cs="Arial"/>
        </w:rPr>
        <w:t xml:space="preserve">either, </w:t>
      </w:r>
      <w:r w:rsidR="00CB5D1D" w:rsidRPr="00992D1C">
        <w:rPr>
          <w:rFonts w:ascii="Arial" w:hAnsi="Arial" w:cs="Arial"/>
        </w:rPr>
        <w:t xml:space="preserve">opt to retain a tenant who is no longer eligible to be an </w:t>
      </w:r>
      <w:r w:rsidR="006D0716" w:rsidRPr="00992D1C">
        <w:rPr>
          <w:rFonts w:ascii="Arial" w:hAnsi="Arial" w:cs="Arial"/>
        </w:rPr>
        <w:t>IRR Client</w:t>
      </w:r>
      <w:r w:rsidR="00337C43" w:rsidRPr="00992D1C">
        <w:rPr>
          <w:rFonts w:ascii="Arial" w:hAnsi="Arial" w:cs="Arial"/>
        </w:rPr>
        <w:t xml:space="preserve"> or terminate the tenancy.</w:t>
      </w:r>
      <w:r w:rsidR="00034F23" w:rsidRPr="00992D1C">
        <w:rPr>
          <w:rFonts w:ascii="Arial" w:hAnsi="Arial" w:cs="Arial"/>
        </w:rPr>
        <w:t xml:space="preserve"> </w:t>
      </w:r>
    </w:p>
    <w:p w:rsidR="00CB5D1D" w:rsidRPr="00992D1C" w:rsidRDefault="00CB5D1D" w:rsidP="009E7A39">
      <w:pPr>
        <w:spacing w:before="120" w:after="120" w:line="360" w:lineRule="auto"/>
        <w:contextualSpacing/>
        <w:rPr>
          <w:rFonts w:ascii="Arial" w:hAnsi="Arial" w:cs="Arial"/>
        </w:rPr>
      </w:pPr>
    </w:p>
    <w:p w:rsidR="004D36D4" w:rsidRPr="00992D1C" w:rsidRDefault="00992D1C" w:rsidP="009E7A39">
      <w:pPr>
        <w:numPr>
          <w:ilvl w:val="1"/>
          <w:numId w:val="38"/>
        </w:numPr>
        <w:contextualSpacing/>
        <w:rPr>
          <w:rFonts w:ascii="Arial" w:hAnsi="Arial" w:cs="Arial"/>
        </w:rPr>
      </w:pPr>
      <w:r w:rsidRPr="009E7A39">
        <w:rPr>
          <w:rFonts w:ascii="Arial" w:hAnsi="Arial" w:cs="Arial"/>
        </w:rPr>
        <w:t>Following a decision under clause 4.5, t</w:t>
      </w:r>
      <w:r w:rsidR="00337C43" w:rsidRPr="009E7A39">
        <w:rPr>
          <w:rFonts w:ascii="Arial" w:hAnsi="Arial" w:cs="Arial"/>
        </w:rPr>
        <w:t>he</w:t>
      </w:r>
      <w:r w:rsidR="00CB5D1D" w:rsidRPr="00992D1C">
        <w:rPr>
          <w:rFonts w:ascii="Arial" w:hAnsi="Arial" w:cs="Arial"/>
        </w:rPr>
        <w:t xml:space="preserve"> Provider </w:t>
      </w:r>
      <w:r w:rsidRPr="009E7A39">
        <w:rPr>
          <w:rFonts w:ascii="Arial" w:hAnsi="Arial" w:cs="Arial"/>
        </w:rPr>
        <w:t xml:space="preserve">must </w:t>
      </w:r>
      <w:r w:rsidR="00D71188">
        <w:rPr>
          <w:rFonts w:ascii="Arial" w:hAnsi="Arial" w:cs="Arial"/>
        </w:rPr>
        <w:t xml:space="preserve">provide </w:t>
      </w:r>
      <w:r w:rsidR="00D71188" w:rsidRPr="00D71188">
        <w:rPr>
          <w:rFonts w:ascii="Arial" w:hAnsi="Arial" w:cs="Arial"/>
        </w:rPr>
        <w:t>noti</w:t>
      </w:r>
      <w:r w:rsidR="00D71188">
        <w:rPr>
          <w:rFonts w:ascii="Arial" w:hAnsi="Arial" w:cs="Arial"/>
        </w:rPr>
        <w:t>ce to</w:t>
      </w:r>
      <w:r w:rsidRPr="009E7A39">
        <w:rPr>
          <w:rFonts w:ascii="Arial" w:hAnsi="Arial" w:cs="Arial"/>
        </w:rPr>
        <w:t xml:space="preserve"> the</w:t>
      </w:r>
      <w:r w:rsidRPr="00992D1C">
        <w:rPr>
          <w:rFonts w:ascii="Arial" w:hAnsi="Arial" w:cs="Arial"/>
        </w:rPr>
        <w:t xml:space="preserve"> IRR</w:t>
      </w:r>
      <w:r>
        <w:rPr>
          <w:rFonts w:ascii="Arial" w:hAnsi="Arial" w:cs="Arial"/>
        </w:rPr>
        <w:t xml:space="preserve"> </w:t>
      </w:r>
      <w:r w:rsidRPr="009E7A39">
        <w:rPr>
          <w:rFonts w:ascii="Arial" w:hAnsi="Arial" w:cs="Arial"/>
        </w:rPr>
        <w:t xml:space="preserve">Tennant in accordance with the </w:t>
      </w:r>
      <w:r w:rsidRPr="00992D1C">
        <w:rPr>
          <w:rFonts w:ascii="Arial" w:hAnsi="Arial" w:cs="Arial"/>
        </w:rPr>
        <w:t>Residential Tenancies Act 1986.</w:t>
      </w:r>
      <w:r w:rsidRPr="009E7A39">
        <w:rPr>
          <w:rFonts w:ascii="Arial" w:hAnsi="Arial" w:cs="Arial"/>
        </w:rPr>
        <w:t xml:space="preserve"> </w:t>
      </w:r>
    </w:p>
    <w:p w:rsidR="00CB5D1D" w:rsidRPr="00CB5D1D" w:rsidRDefault="00CB5D1D" w:rsidP="00CB5D1D">
      <w:pPr>
        <w:ind w:left="720"/>
        <w:contextualSpacing/>
      </w:pPr>
    </w:p>
    <w:p w:rsidR="00216982" w:rsidRPr="00E45AA2" w:rsidRDefault="00CB5D1D" w:rsidP="002D4F88">
      <w:pPr>
        <w:numPr>
          <w:ilvl w:val="1"/>
          <w:numId w:val="38"/>
        </w:numPr>
        <w:spacing w:before="120" w:after="120" w:line="360" w:lineRule="auto"/>
        <w:contextualSpacing/>
        <w:rPr>
          <w:rFonts w:ascii="Arial" w:hAnsi="Arial" w:cs="Arial"/>
        </w:rPr>
      </w:pPr>
      <w:r w:rsidRPr="00E45AA2">
        <w:rPr>
          <w:rFonts w:ascii="Arial" w:hAnsi="Arial" w:cs="Arial"/>
        </w:rPr>
        <w:t xml:space="preserve">The Purchasing Agency will </w:t>
      </w:r>
      <w:r w:rsidR="00203807" w:rsidRPr="00E45AA2">
        <w:rPr>
          <w:rFonts w:ascii="Arial" w:hAnsi="Arial" w:cs="Arial"/>
        </w:rPr>
        <w:t>calculate the income related rent and notify the Provider if there is any change in subsidy paid for an IRR client.</w:t>
      </w:r>
      <w:r w:rsidR="00216982" w:rsidRPr="00E45AA2">
        <w:rPr>
          <w:rFonts w:ascii="Arial" w:hAnsi="Arial" w:cs="Arial"/>
        </w:rPr>
        <w:t xml:space="preserve"> The time between notification and subsidy adjustment date will be at least the period of notice for rental adjustment under the RTA plus</w:t>
      </w:r>
      <w:r w:rsidR="00812AC4" w:rsidRPr="00E45AA2">
        <w:rPr>
          <w:rFonts w:ascii="Arial" w:hAnsi="Arial" w:cs="Arial"/>
        </w:rPr>
        <w:t xml:space="preserve"> five</w:t>
      </w:r>
      <w:r w:rsidR="00216982" w:rsidRPr="00E45AA2">
        <w:rPr>
          <w:rFonts w:ascii="Arial" w:hAnsi="Arial" w:cs="Arial"/>
        </w:rPr>
        <w:t xml:space="preserve"> 5 days.</w:t>
      </w:r>
    </w:p>
    <w:p w:rsidR="00216982" w:rsidRPr="00E45AA2" w:rsidRDefault="00216982" w:rsidP="002D4F88">
      <w:pPr>
        <w:pStyle w:val="ListParagraph"/>
        <w:numPr>
          <w:ilvl w:val="1"/>
          <w:numId w:val="38"/>
        </w:numPr>
        <w:spacing w:before="120" w:after="120" w:line="360" w:lineRule="auto"/>
        <w:rPr>
          <w:rFonts w:ascii="Arial" w:hAnsi="Arial" w:cs="Arial"/>
        </w:rPr>
      </w:pPr>
      <w:r w:rsidRPr="00E45AA2">
        <w:rPr>
          <w:rFonts w:ascii="Arial" w:hAnsi="Arial" w:cs="Arial"/>
        </w:rPr>
        <w:t>Where an IRR Client transfers to another property the provider is required to seek prior approval from the Purchasing Agency.</w:t>
      </w:r>
    </w:p>
    <w:p w:rsidR="0091456F" w:rsidRDefault="00216982" w:rsidP="0091456F">
      <w:pPr>
        <w:numPr>
          <w:ilvl w:val="1"/>
          <w:numId w:val="38"/>
        </w:numPr>
        <w:spacing w:before="120" w:after="120" w:line="360" w:lineRule="auto"/>
        <w:contextualSpacing/>
        <w:rPr>
          <w:rFonts w:ascii="Arial" w:hAnsi="Arial" w:cs="Arial"/>
        </w:rPr>
      </w:pPr>
      <w:r>
        <w:rPr>
          <w:rFonts w:ascii="Arial" w:hAnsi="Arial" w:cs="Arial"/>
        </w:rPr>
        <w:t>The Provider needs to notify the Purchasing Agency</w:t>
      </w:r>
      <w:r w:rsidR="002D4F88">
        <w:rPr>
          <w:rFonts w:ascii="Arial" w:hAnsi="Arial" w:cs="Arial"/>
        </w:rPr>
        <w:t xml:space="preserve"> of any tenancy ending and the circumstances of the tenancy terminating.</w:t>
      </w:r>
      <w:r>
        <w:rPr>
          <w:rFonts w:ascii="Arial" w:hAnsi="Arial" w:cs="Arial"/>
        </w:rPr>
        <w:t xml:space="preserve"> </w:t>
      </w:r>
      <w:r w:rsidR="0091456F">
        <w:rPr>
          <w:rFonts w:ascii="Arial" w:hAnsi="Arial" w:cs="Arial"/>
        </w:rPr>
        <w:t xml:space="preserve">The provider must submit to the </w:t>
      </w:r>
      <w:r w:rsidR="0091456F">
        <w:rPr>
          <w:rFonts w:ascii="Arial" w:hAnsi="Arial" w:cs="Arial"/>
        </w:rPr>
        <w:lastRenderedPageBreak/>
        <w:t>Purchasing Agency an End of Tenancy form  no longer than (5) work days from the end date of the tenancy</w:t>
      </w:r>
    </w:p>
    <w:p w:rsidR="00216982" w:rsidRDefault="00216982" w:rsidP="009E7A39">
      <w:pPr>
        <w:numPr>
          <w:ilvl w:val="1"/>
          <w:numId w:val="38"/>
        </w:numPr>
        <w:spacing w:before="120" w:after="120" w:line="360" w:lineRule="auto"/>
        <w:contextualSpacing/>
        <w:rPr>
          <w:rFonts w:ascii="Arial" w:hAnsi="Arial" w:cs="Arial"/>
        </w:rPr>
      </w:pPr>
    </w:p>
    <w:p w:rsidR="00203807" w:rsidRDefault="00203807" w:rsidP="00203807">
      <w:pPr>
        <w:pStyle w:val="ListParagraph"/>
        <w:rPr>
          <w:rFonts w:ascii="Arial" w:hAnsi="Arial" w:cs="Arial"/>
        </w:rPr>
      </w:pPr>
    </w:p>
    <w:p w:rsidR="004E4B9F" w:rsidRDefault="004E4B9F" w:rsidP="00203807">
      <w:pPr>
        <w:pStyle w:val="ListParagraph"/>
        <w:rPr>
          <w:rFonts w:ascii="Arial" w:hAnsi="Arial" w:cs="Arial"/>
        </w:rPr>
      </w:pPr>
    </w:p>
    <w:p w:rsidR="004E4B9F" w:rsidRDefault="004E4B9F" w:rsidP="00203807">
      <w:pPr>
        <w:pStyle w:val="ListParagraph"/>
        <w:rPr>
          <w:rFonts w:ascii="Arial" w:hAnsi="Arial" w:cs="Arial"/>
        </w:rPr>
      </w:pPr>
    </w:p>
    <w:p w:rsidR="004E4B9F" w:rsidRDefault="004E4B9F" w:rsidP="00203807">
      <w:pPr>
        <w:pStyle w:val="ListParagraph"/>
        <w:rPr>
          <w:rFonts w:ascii="Arial" w:hAnsi="Arial" w:cs="Arial"/>
        </w:rPr>
      </w:pPr>
    </w:p>
    <w:p w:rsidR="00CB5D1D" w:rsidRPr="0087625A" w:rsidRDefault="00CB5D1D" w:rsidP="009E7A39">
      <w:pPr>
        <w:pStyle w:val="ListParagraph"/>
        <w:numPr>
          <w:ilvl w:val="0"/>
          <w:numId w:val="38"/>
        </w:numPr>
        <w:tabs>
          <w:tab w:val="left" w:pos="709"/>
        </w:tabs>
        <w:ind w:right="-24"/>
        <w:jc w:val="both"/>
        <w:rPr>
          <w:rFonts w:ascii="Arial" w:hAnsi="Arial" w:cs="Arial"/>
          <w:b/>
        </w:rPr>
      </w:pPr>
      <w:r w:rsidRPr="0087625A">
        <w:rPr>
          <w:rFonts w:ascii="Arial" w:hAnsi="Arial" w:cs="Arial"/>
          <w:b/>
        </w:rPr>
        <w:t>Tenancy Service Requirements</w:t>
      </w:r>
    </w:p>
    <w:p w:rsidR="00CB5D1D" w:rsidRPr="00CB5D1D" w:rsidRDefault="00CB5D1D" w:rsidP="009E7A39">
      <w:pPr>
        <w:numPr>
          <w:ilvl w:val="1"/>
          <w:numId w:val="38"/>
        </w:numPr>
        <w:tabs>
          <w:tab w:val="left" w:pos="709"/>
        </w:tabs>
        <w:ind w:right="-24"/>
        <w:contextualSpacing/>
        <w:jc w:val="both"/>
        <w:rPr>
          <w:rFonts w:ascii="Arial" w:hAnsi="Arial" w:cs="Arial"/>
        </w:rPr>
      </w:pPr>
      <w:r w:rsidRPr="00CB5D1D">
        <w:rPr>
          <w:rFonts w:ascii="Arial" w:hAnsi="Arial" w:cs="Arial"/>
        </w:rPr>
        <w:t>Th</w:t>
      </w:r>
      <w:r w:rsidR="00992D1C">
        <w:rPr>
          <w:rFonts w:ascii="Arial" w:hAnsi="Arial" w:cs="Arial"/>
        </w:rPr>
        <w:t>e Provider must advise each IRR</w:t>
      </w:r>
      <w:r w:rsidR="005B7899">
        <w:rPr>
          <w:rFonts w:ascii="Arial" w:hAnsi="Arial" w:cs="Arial"/>
        </w:rPr>
        <w:t xml:space="preserve"> Ten</w:t>
      </w:r>
      <w:r w:rsidRPr="00CB5D1D">
        <w:rPr>
          <w:rFonts w:ascii="Arial" w:hAnsi="Arial" w:cs="Arial"/>
        </w:rPr>
        <w:t>ant of any change to his or her rent.</w:t>
      </w:r>
    </w:p>
    <w:p w:rsidR="00CB5D1D" w:rsidRPr="00CB5D1D" w:rsidRDefault="00CB5D1D" w:rsidP="00CB5D1D">
      <w:pPr>
        <w:tabs>
          <w:tab w:val="left" w:pos="709"/>
        </w:tabs>
        <w:ind w:left="567" w:right="-24"/>
        <w:contextualSpacing/>
        <w:jc w:val="both"/>
        <w:rPr>
          <w:rFonts w:ascii="Arial" w:hAnsi="Arial" w:cs="Arial"/>
        </w:rPr>
      </w:pPr>
    </w:p>
    <w:p w:rsidR="00CE28EA" w:rsidRPr="00992D1C" w:rsidRDefault="00CB5D1D" w:rsidP="009E7A39">
      <w:pPr>
        <w:numPr>
          <w:ilvl w:val="1"/>
          <w:numId w:val="38"/>
        </w:numPr>
        <w:spacing w:before="120"/>
        <w:contextualSpacing/>
        <w:rPr>
          <w:rFonts w:ascii="Arial" w:hAnsi="Arial" w:cs="Arial"/>
        </w:rPr>
      </w:pPr>
      <w:r w:rsidRPr="00CB5D1D">
        <w:rPr>
          <w:rFonts w:ascii="Arial" w:hAnsi="Arial" w:cs="Arial"/>
        </w:rPr>
        <w:t>The Provider must only charge for renting a rate that has been agreed with the Purchasing Agency for a</w:t>
      </w:r>
      <w:r w:rsidR="00992D1C">
        <w:rPr>
          <w:rFonts w:ascii="Arial" w:hAnsi="Arial" w:cs="Arial"/>
        </w:rPr>
        <w:t>ny IRR</w:t>
      </w:r>
      <w:r w:rsidRPr="00CB5D1D">
        <w:rPr>
          <w:rFonts w:ascii="Arial" w:hAnsi="Arial" w:cs="Arial"/>
        </w:rPr>
        <w:t xml:space="preserve"> properties</w:t>
      </w:r>
      <w:r w:rsidR="00992D1C">
        <w:rPr>
          <w:rFonts w:ascii="Arial" w:hAnsi="Arial" w:cs="Arial"/>
        </w:rPr>
        <w:t>.</w:t>
      </w:r>
    </w:p>
    <w:p w:rsidR="00CB5D1D" w:rsidRPr="009E7A39" w:rsidRDefault="00CB5D1D" w:rsidP="009E7A39">
      <w:pPr>
        <w:pStyle w:val="ListParagraph"/>
        <w:numPr>
          <w:ilvl w:val="1"/>
          <w:numId w:val="38"/>
        </w:numPr>
        <w:spacing w:before="120"/>
        <w:rPr>
          <w:rFonts w:ascii="Arial" w:hAnsi="Arial" w:cs="Arial"/>
        </w:rPr>
      </w:pPr>
      <w:r w:rsidRPr="009E7A39">
        <w:rPr>
          <w:rFonts w:ascii="Arial" w:hAnsi="Arial" w:cs="Arial"/>
        </w:rPr>
        <w:t xml:space="preserve">The Provider cannot request </w:t>
      </w:r>
      <w:r w:rsidR="00CE28EA" w:rsidRPr="009E7A39">
        <w:rPr>
          <w:rFonts w:ascii="Arial" w:hAnsi="Arial" w:cs="Arial"/>
        </w:rPr>
        <w:t>any additional charges from an IRR</w:t>
      </w:r>
      <w:r w:rsidRPr="009E7A39">
        <w:rPr>
          <w:rFonts w:ascii="Arial" w:hAnsi="Arial" w:cs="Arial"/>
        </w:rPr>
        <w:t xml:space="preserve"> Tenant other than rent, excluding the provision of a bond</w:t>
      </w:r>
      <w:r w:rsidR="00CE28EA" w:rsidRPr="009E7A39">
        <w:rPr>
          <w:rFonts w:ascii="Arial" w:hAnsi="Arial" w:cs="Arial"/>
        </w:rPr>
        <w:t xml:space="preserve"> and </w:t>
      </w:r>
      <w:r w:rsidR="005655FB" w:rsidRPr="009E7A39">
        <w:rPr>
          <w:rFonts w:ascii="Arial" w:hAnsi="Arial" w:cs="Arial"/>
        </w:rPr>
        <w:t xml:space="preserve">costs for </w:t>
      </w:r>
      <w:r w:rsidR="00CE28EA" w:rsidRPr="009E7A39">
        <w:rPr>
          <w:rFonts w:ascii="Arial" w:hAnsi="Arial" w:cs="Arial"/>
        </w:rPr>
        <w:t>utilities</w:t>
      </w:r>
      <w:r w:rsidRPr="009E7A39">
        <w:rPr>
          <w:rFonts w:ascii="Arial" w:hAnsi="Arial" w:cs="Arial"/>
        </w:rPr>
        <w:t>.</w:t>
      </w:r>
    </w:p>
    <w:p w:rsidR="00CB5D1D" w:rsidRPr="00992D1C" w:rsidRDefault="00CB5D1D" w:rsidP="009E7A39">
      <w:pPr>
        <w:numPr>
          <w:ilvl w:val="1"/>
          <w:numId w:val="38"/>
        </w:numPr>
        <w:spacing w:before="120"/>
        <w:contextualSpacing/>
        <w:rPr>
          <w:rFonts w:ascii="Arial" w:hAnsi="Arial" w:cs="Arial"/>
        </w:rPr>
      </w:pPr>
      <w:r w:rsidRPr="00CB5D1D">
        <w:rPr>
          <w:rFonts w:ascii="Arial" w:hAnsi="Arial" w:cs="Arial"/>
        </w:rPr>
        <w:t xml:space="preserve">The Provider must ensure that </w:t>
      </w:r>
      <w:r>
        <w:rPr>
          <w:rFonts w:ascii="Arial" w:hAnsi="Arial" w:cs="Arial"/>
        </w:rPr>
        <w:t xml:space="preserve">each </w:t>
      </w:r>
      <w:r w:rsidR="006D0716">
        <w:rPr>
          <w:rFonts w:ascii="Arial" w:hAnsi="Arial" w:cs="Arial"/>
        </w:rPr>
        <w:t>IRR Tenant</w:t>
      </w:r>
      <w:r w:rsidRPr="00CB5D1D">
        <w:rPr>
          <w:rFonts w:ascii="Arial" w:hAnsi="Arial" w:cs="Arial"/>
        </w:rPr>
        <w:t xml:space="preserve"> has a written tenancy agreement that meets the </w:t>
      </w:r>
      <w:r w:rsidR="00992D1C">
        <w:rPr>
          <w:rFonts w:ascii="Arial" w:hAnsi="Arial" w:cs="Arial"/>
        </w:rPr>
        <w:t xml:space="preserve">requirements of the </w:t>
      </w:r>
      <w:r w:rsidRPr="00CB5D1D">
        <w:rPr>
          <w:rFonts w:ascii="Arial" w:hAnsi="Arial" w:cs="Arial"/>
        </w:rPr>
        <w:t>Residential Tenancies Act 1986</w:t>
      </w:r>
      <w:r w:rsidR="00992D1C">
        <w:rPr>
          <w:rFonts w:ascii="Arial" w:hAnsi="Arial" w:cs="Arial"/>
        </w:rPr>
        <w:t>.</w:t>
      </w:r>
    </w:p>
    <w:p w:rsidR="00CB5D1D" w:rsidRDefault="00CB5D1D" w:rsidP="009E7A39">
      <w:pPr>
        <w:pStyle w:val="ListParagraph"/>
        <w:numPr>
          <w:ilvl w:val="1"/>
          <w:numId w:val="38"/>
        </w:numPr>
        <w:spacing w:before="120"/>
        <w:rPr>
          <w:rFonts w:ascii="Arial" w:hAnsi="Arial" w:cs="Arial"/>
        </w:rPr>
      </w:pPr>
      <w:r w:rsidRPr="009E7A39">
        <w:rPr>
          <w:rFonts w:ascii="Arial" w:hAnsi="Arial" w:cs="Arial"/>
        </w:rPr>
        <w:t xml:space="preserve">The Provider must ensure that the </w:t>
      </w:r>
      <w:r w:rsidR="006D0716" w:rsidRPr="009E7A39">
        <w:rPr>
          <w:rFonts w:ascii="Arial" w:hAnsi="Arial" w:cs="Arial"/>
        </w:rPr>
        <w:t>IRR Tenant</w:t>
      </w:r>
      <w:r w:rsidRPr="009E7A39">
        <w:rPr>
          <w:rFonts w:ascii="Arial" w:hAnsi="Arial" w:cs="Arial"/>
        </w:rPr>
        <w:t xml:space="preserve"> is informed of all relevant information related to a property prior to signing the tenancy agreement.</w:t>
      </w:r>
    </w:p>
    <w:p w:rsidR="004835F8" w:rsidRPr="009E7A39" w:rsidRDefault="004835F8" w:rsidP="00E91091">
      <w:pPr>
        <w:pStyle w:val="ListParagraph"/>
        <w:spacing w:before="120"/>
        <w:ind w:left="1134"/>
        <w:rPr>
          <w:rFonts w:ascii="Arial" w:hAnsi="Arial" w:cs="Arial"/>
        </w:rPr>
      </w:pPr>
    </w:p>
    <w:p w:rsidR="000D384A" w:rsidRDefault="000D384A" w:rsidP="009E7A39">
      <w:pPr>
        <w:pStyle w:val="ListParagraph"/>
        <w:rPr>
          <w:rFonts w:ascii="Arial" w:eastAsiaTheme="majorEastAsia" w:hAnsi="Arial" w:cs="Arial"/>
          <w:b/>
          <w:bCs/>
        </w:rPr>
      </w:pPr>
    </w:p>
    <w:p w:rsidR="000D384A" w:rsidRPr="0087625A" w:rsidRDefault="000D384A" w:rsidP="000D384A">
      <w:pPr>
        <w:pStyle w:val="ListParagraph"/>
        <w:numPr>
          <w:ilvl w:val="0"/>
          <w:numId w:val="38"/>
        </w:numPr>
        <w:rPr>
          <w:rFonts w:ascii="Arial" w:hAnsi="Arial" w:cs="Arial"/>
          <w:b/>
        </w:rPr>
      </w:pPr>
      <w:r w:rsidRPr="0087625A">
        <w:rPr>
          <w:rFonts w:ascii="Arial" w:hAnsi="Arial" w:cs="Arial"/>
          <w:b/>
        </w:rPr>
        <w:t>General Standards Applied to Services</w:t>
      </w:r>
    </w:p>
    <w:p w:rsidR="00CB5D1D" w:rsidRPr="0087625A" w:rsidRDefault="00CB5D1D" w:rsidP="009E7A39">
      <w:pPr>
        <w:pStyle w:val="ListParagraph"/>
        <w:spacing w:after="120"/>
        <w:ind w:left="567"/>
        <w:jc w:val="both"/>
        <w:rPr>
          <w:rFonts w:ascii="Arial" w:hAnsi="Arial" w:cs="Arial"/>
        </w:rPr>
      </w:pPr>
    </w:p>
    <w:p w:rsidR="000D384A" w:rsidRDefault="000D384A" w:rsidP="009E7A39">
      <w:pPr>
        <w:pStyle w:val="ListParagraph"/>
        <w:numPr>
          <w:ilvl w:val="1"/>
          <w:numId w:val="38"/>
        </w:numPr>
        <w:spacing w:after="120"/>
        <w:jc w:val="both"/>
        <w:rPr>
          <w:rFonts w:ascii="Arial" w:hAnsi="Arial" w:cs="Arial"/>
        </w:rPr>
      </w:pPr>
      <w:r>
        <w:rPr>
          <w:rFonts w:ascii="Arial" w:hAnsi="Arial" w:cs="Arial"/>
        </w:rPr>
        <w:t>The Provider must:</w:t>
      </w:r>
    </w:p>
    <w:p w:rsidR="00CB5D1D" w:rsidRPr="009E7A39" w:rsidRDefault="00CB5D1D" w:rsidP="009E7A39">
      <w:pPr>
        <w:pStyle w:val="ListParagraph"/>
        <w:numPr>
          <w:ilvl w:val="2"/>
          <w:numId w:val="38"/>
        </w:numPr>
        <w:spacing w:after="120"/>
        <w:jc w:val="both"/>
        <w:rPr>
          <w:rFonts w:ascii="Arial" w:hAnsi="Arial" w:cs="Arial"/>
        </w:rPr>
      </w:pPr>
      <w:r w:rsidRPr="009E7A39">
        <w:rPr>
          <w:rFonts w:ascii="Arial" w:hAnsi="Arial" w:cs="Arial"/>
        </w:rPr>
        <w:t>have sound administrative systems in place and are able to provide accurate records and reports upon request;</w:t>
      </w:r>
    </w:p>
    <w:p w:rsidR="00CB5D1D" w:rsidRPr="00CB5D1D" w:rsidRDefault="00CB5D1D" w:rsidP="009E7A39">
      <w:pPr>
        <w:numPr>
          <w:ilvl w:val="2"/>
          <w:numId w:val="38"/>
        </w:numPr>
        <w:spacing w:after="120"/>
        <w:contextualSpacing/>
        <w:jc w:val="both"/>
        <w:rPr>
          <w:rFonts w:ascii="Arial" w:hAnsi="Arial" w:cs="Arial"/>
        </w:rPr>
      </w:pPr>
      <w:r w:rsidRPr="00CB5D1D">
        <w:rPr>
          <w:rFonts w:ascii="Arial" w:hAnsi="Arial" w:cs="Arial"/>
        </w:rPr>
        <w:t>notify the Purchasing Agency of an</w:t>
      </w:r>
      <w:r w:rsidR="006623E3">
        <w:rPr>
          <w:rFonts w:ascii="Arial" w:hAnsi="Arial" w:cs="Arial"/>
        </w:rPr>
        <w:t xml:space="preserve">y change in circumstances of </w:t>
      </w:r>
      <w:r w:rsidR="00812AC4">
        <w:rPr>
          <w:rFonts w:ascii="Arial" w:hAnsi="Arial" w:cs="Arial"/>
        </w:rPr>
        <w:t xml:space="preserve">an </w:t>
      </w:r>
      <w:r w:rsidR="006D0716">
        <w:rPr>
          <w:rFonts w:ascii="Arial" w:hAnsi="Arial" w:cs="Arial"/>
        </w:rPr>
        <w:t>IRR Tenant</w:t>
      </w:r>
      <w:r w:rsidRPr="00CB5D1D">
        <w:rPr>
          <w:rFonts w:ascii="Arial" w:hAnsi="Arial" w:cs="Arial"/>
        </w:rPr>
        <w:t xml:space="preserve"> that may affect a</w:t>
      </w:r>
      <w:r w:rsidR="00812AC4">
        <w:rPr>
          <w:rFonts w:ascii="Arial" w:hAnsi="Arial" w:cs="Arial"/>
        </w:rPr>
        <w:t>n</w:t>
      </w:r>
      <w:r w:rsidRPr="00CB5D1D">
        <w:rPr>
          <w:rFonts w:ascii="Arial" w:hAnsi="Arial" w:cs="Arial"/>
        </w:rPr>
        <w:t xml:space="preserve"> </w:t>
      </w:r>
      <w:r w:rsidR="006D0716">
        <w:rPr>
          <w:rFonts w:ascii="Arial" w:hAnsi="Arial" w:cs="Arial"/>
        </w:rPr>
        <w:t>IRR Tenant</w:t>
      </w:r>
      <w:r w:rsidRPr="00CB5D1D">
        <w:rPr>
          <w:rFonts w:ascii="Arial" w:hAnsi="Arial" w:cs="Arial"/>
        </w:rPr>
        <w:t>’s rate of IRR that the Provider becomes aware of; and</w:t>
      </w:r>
    </w:p>
    <w:p w:rsidR="000D384A" w:rsidRDefault="00CB5D1D" w:rsidP="009E7A39">
      <w:pPr>
        <w:numPr>
          <w:ilvl w:val="2"/>
          <w:numId w:val="38"/>
        </w:numPr>
        <w:spacing w:after="120"/>
        <w:contextualSpacing/>
        <w:jc w:val="both"/>
        <w:rPr>
          <w:rFonts w:ascii="Arial" w:hAnsi="Arial" w:cs="Arial"/>
        </w:rPr>
      </w:pPr>
      <w:r w:rsidRPr="00CB5D1D">
        <w:rPr>
          <w:rFonts w:ascii="Arial" w:hAnsi="Arial" w:cs="Arial"/>
        </w:rPr>
        <w:t>ensure that the personal privacy and dignity of tenants is respected during the provision of the Services and the Services are provided in a manner which respects and is appropriate to participants’ religious and cultural beliefs and practices, age, gender and disabilities.</w:t>
      </w:r>
    </w:p>
    <w:p w:rsidR="000D384A" w:rsidRDefault="000D384A" w:rsidP="009E7A39">
      <w:pPr>
        <w:spacing w:after="120"/>
        <w:ind w:left="1701"/>
        <w:contextualSpacing/>
        <w:jc w:val="both"/>
        <w:rPr>
          <w:rFonts w:ascii="Arial" w:hAnsi="Arial" w:cs="Arial"/>
        </w:rPr>
      </w:pPr>
    </w:p>
    <w:p w:rsidR="000D384A" w:rsidRPr="0087625A" w:rsidRDefault="000D384A" w:rsidP="009E7A39">
      <w:pPr>
        <w:numPr>
          <w:ilvl w:val="0"/>
          <w:numId w:val="38"/>
        </w:numPr>
        <w:spacing w:before="120" w:after="120"/>
        <w:contextualSpacing/>
        <w:jc w:val="both"/>
        <w:rPr>
          <w:rFonts w:ascii="Arial" w:hAnsi="Arial" w:cs="Arial"/>
          <w:b/>
        </w:rPr>
      </w:pPr>
      <w:r w:rsidRPr="0087625A">
        <w:rPr>
          <w:rFonts w:ascii="Arial" w:eastAsiaTheme="majorEastAsia" w:hAnsi="Arial" w:cs="Arial"/>
          <w:b/>
          <w:bCs/>
        </w:rPr>
        <w:t>Practice Guidelines</w:t>
      </w:r>
    </w:p>
    <w:p w:rsidR="0087625A" w:rsidRPr="009E7A39" w:rsidRDefault="0087625A" w:rsidP="0087625A">
      <w:pPr>
        <w:spacing w:before="120" w:after="120"/>
        <w:ind w:left="567"/>
        <w:contextualSpacing/>
        <w:jc w:val="both"/>
        <w:rPr>
          <w:rFonts w:ascii="Arial" w:hAnsi="Arial" w:cs="Arial"/>
        </w:rPr>
      </w:pPr>
    </w:p>
    <w:p w:rsidR="00CB5D1D" w:rsidRPr="005E32B1" w:rsidRDefault="00CB5D1D" w:rsidP="009E7A39">
      <w:pPr>
        <w:numPr>
          <w:ilvl w:val="1"/>
          <w:numId w:val="38"/>
        </w:numPr>
        <w:spacing w:before="120" w:after="120"/>
        <w:contextualSpacing/>
        <w:jc w:val="both"/>
        <w:rPr>
          <w:rFonts w:ascii="Arial" w:hAnsi="Arial" w:cs="Arial"/>
        </w:rPr>
      </w:pPr>
      <w:r w:rsidRPr="00CB5D1D">
        <w:rPr>
          <w:rFonts w:ascii="Arial" w:hAnsi="Arial" w:cs="Arial"/>
        </w:rPr>
        <w:t xml:space="preserve">The Provider will accord with the </w:t>
      </w:r>
      <w:r w:rsidR="00812AC4">
        <w:rPr>
          <w:rFonts w:ascii="Arial" w:hAnsi="Arial" w:cs="Arial"/>
        </w:rPr>
        <w:t xml:space="preserve">IRRS </w:t>
      </w:r>
      <w:r w:rsidR="005E32B1">
        <w:rPr>
          <w:rFonts w:ascii="Arial" w:hAnsi="Arial" w:cs="Arial"/>
        </w:rPr>
        <w:t xml:space="preserve">Community Housing </w:t>
      </w:r>
      <w:r w:rsidR="005E32B1" w:rsidRPr="005E32B1">
        <w:rPr>
          <w:rFonts w:ascii="Arial" w:hAnsi="Arial" w:cs="Arial"/>
        </w:rPr>
        <w:t>Providers</w:t>
      </w:r>
      <w:r w:rsidRPr="005E32B1">
        <w:rPr>
          <w:rFonts w:ascii="Arial" w:hAnsi="Arial" w:cs="Arial"/>
        </w:rPr>
        <w:t xml:space="preserve"> Guidelines document which is incorporated by reference into this Agreement. </w:t>
      </w:r>
    </w:p>
    <w:p w:rsidR="00CB5D1D" w:rsidRDefault="00CB5D1D" w:rsidP="009E7A39">
      <w:pPr>
        <w:numPr>
          <w:ilvl w:val="1"/>
          <w:numId w:val="38"/>
        </w:numPr>
        <w:spacing w:before="120" w:after="120"/>
        <w:contextualSpacing/>
        <w:rPr>
          <w:rFonts w:ascii="Arial" w:hAnsi="Arial" w:cs="Arial"/>
        </w:rPr>
      </w:pPr>
      <w:r w:rsidRPr="00CB5D1D">
        <w:rPr>
          <w:rFonts w:ascii="Arial" w:hAnsi="Arial" w:cs="Arial"/>
        </w:rPr>
        <w:t xml:space="preserve">The IRRS </w:t>
      </w:r>
      <w:r w:rsidR="00812AC4">
        <w:rPr>
          <w:rFonts w:ascii="Arial" w:hAnsi="Arial" w:cs="Arial"/>
        </w:rPr>
        <w:t xml:space="preserve">Community Housing Providers </w:t>
      </w:r>
      <w:r w:rsidR="00E45AA2">
        <w:rPr>
          <w:rFonts w:ascii="Arial" w:hAnsi="Arial" w:cs="Arial"/>
        </w:rPr>
        <w:t>Guidelines</w:t>
      </w:r>
      <w:r w:rsidRPr="00CB5D1D">
        <w:rPr>
          <w:rFonts w:ascii="Arial" w:hAnsi="Arial" w:cs="Arial"/>
        </w:rPr>
        <w:t xml:space="preserve"> is a living document and may be amended as necessary throughout the period of this Agreement. </w:t>
      </w:r>
    </w:p>
    <w:p w:rsidR="0087625A" w:rsidRDefault="0087625A">
      <w:pPr>
        <w:rPr>
          <w:rFonts w:ascii="Arial" w:hAnsi="Arial" w:cs="Arial"/>
        </w:rPr>
      </w:pPr>
    </w:p>
    <w:p w:rsidR="00CB5D1D" w:rsidRPr="009E7A39" w:rsidRDefault="00CB5D1D" w:rsidP="009E7A39">
      <w:pPr>
        <w:pStyle w:val="ListParagraph"/>
        <w:numPr>
          <w:ilvl w:val="0"/>
          <w:numId w:val="38"/>
        </w:numPr>
        <w:autoSpaceDE w:val="0"/>
        <w:autoSpaceDN w:val="0"/>
        <w:adjustRightInd w:val="0"/>
        <w:spacing w:before="240" w:after="120" w:line="240" w:lineRule="auto"/>
        <w:jc w:val="both"/>
        <w:rPr>
          <w:rFonts w:ascii="Arial" w:eastAsia="Times New Roman" w:hAnsi="Arial" w:cs="Arial"/>
          <w:b/>
          <w:color w:val="000000"/>
          <w:lang w:val="en-GB" w:eastAsia="en-AU"/>
        </w:rPr>
      </w:pPr>
      <w:r w:rsidRPr="009E7A39">
        <w:rPr>
          <w:rFonts w:ascii="Arial" w:eastAsia="Times New Roman" w:hAnsi="Arial" w:cs="Arial"/>
          <w:b/>
          <w:color w:val="000000"/>
          <w:lang w:val="en-GB" w:eastAsia="en-AU"/>
        </w:rPr>
        <w:t>Security of all personal information</w:t>
      </w:r>
    </w:p>
    <w:p w:rsidR="00CB5D1D" w:rsidRPr="00CB5D1D" w:rsidRDefault="00CB5D1D" w:rsidP="009E7A39">
      <w:pPr>
        <w:numPr>
          <w:ilvl w:val="1"/>
          <w:numId w:val="38"/>
        </w:numPr>
        <w:autoSpaceDE w:val="0"/>
        <w:autoSpaceDN w:val="0"/>
        <w:adjustRightInd w:val="0"/>
        <w:spacing w:before="240" w:after="120" w:line="240" w:lineRule="auto"/>
        <w:jc w:val="both"/>
        <w:rPr>
          <w:rFonts w:ascii="Arial" w:eastAsia="Times New Roman" w:hAnsi="Arial" w:cs="Arial"/>
          <w:color w:val="000000"/>
          <w:lang w:val="en-GB" w:eastAsia="en-AU"/>
        </w:rPr>
      </w:pPr>
      <w:r w:rsidRPr="00CB5D1D">
        <w:rPr>
          <w:rFonts w:ascii="Arial" w:eastAsia="Times New Roman" w:hAnsi="Arial" w:cs="Arial"/>
          <w:color w:val="000000"/>
          <w:lang w:val="en-GB" w:eastAsia="en-AU"/>
        </w:rPr>
        <w:lastRenderedPageBreak/>
        <w:t>The Provider may only use the personal information disclosed by the Ministry for the purpose of delivering the IRRS Service as outlined in this Agreement.</w:t>
      </w:r>
    </w:p>
    <w:p w:rsidR="00CB5D1D" w:rsidRPr="00CB5D1D" w:rsidRDefault="00CB5D1D" w:rsidP="009E7A39">
      <w:pPr>
        <w:numPr>
          <w:ilvl w:val="1"/>
          <w:numId w:val="38"/>
        </w:numPr>
        <w:autoSpaceDE w:val="0"/>
        <w:autoSpaceDN w:val="0"/>
        <w:adjustRightInd w:val="0"/>
        <w:spacing w:after="120" w:line="240" w:lineRule="auto"/>
        <w:jc w:val="both"/>
        <w:rPr>
          <w:rFonts w:ascii="Arial" w:eastAsia="Times New Roman" w:hAnsi="Arial" w:cs="Arial"/>
          <w:color w:val="000000"/>
          <w:lang w:val="en-GB" w:eastAsia="en-AU"/>
        </w:rPr>
      </w:pPr>
      <w:r w:rsidRPr="00CB5D1D">
        <w:rPr>
          <w:rFonts w:ascii="Arial" w:eastAsia="Times New Roman" w:hAnsi="Arial" w:cs="Arial"/>
          <w:color w:val="000000"/>
          <w:lang w:val="en-GB" w:eastAsia="en-AU"/>
        </w:rPr>
        <w:t xml:space="preserve">The Purchasing Agency may only use the personal information disclosed by the Provider for purposes related to the functions of the Ministry. </w:t>
      </w:r>
    </w:p>
    <w:p w:rsidR="00CB5D1D" w:rsidRPr="00CB5D1D" w:rsidRDefault="00CB5D1D" w:rsidP="009E7A39">
      <w:pPr>
        <w:numPr>
          <w:ilvl w:val="1"/>
          <w:numId w:val="38"/>
        </w:numPr>
        <w:autoSpaceDE w:val="0"/>
        <w:autoSpaceDN w:val="0"/>
        <w:adjustRightInd w:val="0"/>
        <w:spacing w:after="120" w:line="240" w:lineRule="auto"/>
        <w:jc w:val="both"/>
        <w:rPr>
          <w:rFonts w:ascii="Arial" w:eastAsia="Times New Roman" w:hAnsi="Arial" w:cs="Arial"/>
          <w:color w:val="000000"/>
          <w:lang w:val="en-GB" w:eastAsia="en-AU"/>
        </w:rPr>
      </w:pPr>
      <w:r w:rsidRPr="00CB5D1D">
        <w:rPr>
          <w:rFonts w:ascii="Arial" w:eastAsia="Times New Roman" w:hAnsi="Arial" w:cs="Arial"/>
          <w:color w:val="000000"/>
          <w:lang w:val="en-GB" w:eastAsia="en-AU"/>
        </w:rPr>
        <w:t>The Provider will ensure that:</w:t>
      </w:r>
    </w:p>
    <w:p w:rsidR="00CB5D1D" w:rsidRPr="00CB5D1D" w:rsidRDefault="00CB5D1D" w:rsidP="009E7A39">
      <w:pPr>
        <w:numPr>
          <w:ilvl w:val="2"/>
          <w:numId w:val="38"/>
        </w:numPr>
        <w:autoSpaceDE w:val="0"/>
        <w:autoSpaceDN w:val="0"/>
        <w:adjustRightInd w:val="0"/>
        <w:spacing w:after="120" w:line="240" w:lineRule="auto"/>
        <w:jc w:val="both"/>
        <w:rPr>
          <w:rFonts w:ascii="Arial" w:eastAsia="Times New Roman" w:hAnsi="Arial" w:cs="Arial"/>
          <w:color w:val="000000"/>
          <w:lang w:val="en-GB" w:eastAsia="en-AU"/>
        </w:rPr>
      </w:pPr>
      <w:r w:rsidRPr="00CB5D1D">
        <w:rPr>
          <w:rFonts w:ascii="Arial" w:eastAsia="Times New Roman" w:hAnsi="Arial" w:cs="Arial"/>
          <w:color w:val="000000"/>
          <w:lang w:val="en-GB" w:eastAsia="en-AU"/>
        </w:rPr>
        <w:t>All personal information received from the Purchasing Agency and from other sources (including the client) is protected at all times from unauthorised access, use and disclosure.</w:t>
      </w:r>
    </w:p>
    <w:p w:rsidR="00CB5D1D" w:rsidRPr="00CB5D1D" w:rsidRDefault="00CB5D1D" w:rsidP="009E7A39">
      <w:pPr>
        <w:numPr>
          <w:ilvl w:val="2"/>
          <w:numId w:val="38"/>
        </w:numPr>
        <w:autoSpaceDE w:val="0"/>
        <w:autoSpaceDN w:val="0"/>
        <w:adjustRightInd w:val="0"/>
        <w:spacing w:after="120" w:line="240" w:lineRule="auto"/>
        <w:jc w:val="both"/>
        <w:rPr>
          <w:rFonts w:ascii="Arial" w:eastAsia="Times New Roman" w:hAnsi="Arial" w:cs="Arial"/>
          <w:color w:val="000000"/>
          <w:lang w:val="en-GB" w:eastAsia="en-AU"/>
        </w:rPr>
      </w:pPr>
      <w:r w:rsidRPr="00CB5D1D">
        <w:rPr>
          <w:rFonts w:ascii="Arial" w:eastAsia="Times New Roman" w:hAnsi="Arial" w:cs="Arial"/>
          <w:color w:val="000000"/>
          <w:lang w:val="en-GB" w:eastAsia="en-AU"/>
        </w:rPr>
        <w:t>No information is disclosed to other agencies, bodies or persons unless specifically authorised by the Ministry.</w:t>
      </w:r>
    </w:p>
    <w:p w:rsidR="00CB5D1D" w:rsidRPr="00CB5D1D" w:rsidRDefault="00CB5D1D" w:rsidP="009E7A39">
      <w:pPr>
        <w:numPr>
          <w:ilvl w:val="2"/>
          <w:numId w:val="38"/>
        </w:numPr>
        <w:autoSpaceDE w:val="0"/>
        <w:autoSpaceDN w:val="0"/>
        <w:adjustRightInd w:val="0"/>
        <w:spacing w:after="120" w:line="240" w:lineRule="auto"/>
        <w:jc w:val="both"/>
        <w:rPr>
          <w:rFonts w:ascii="Arial" w:eastAsia="Times New Roman" w:hAnsi="Arial" w:cs="Arial"/>
          <w:color w:val="000000"/>
          <w:lang w:val="en-GB" w:eastAsia="en-AU"/>
        </w:rPr>
      </w:pPr>
      <w:r w:rsidRPr="00CB5D1D">
        <w:rPr>
          <w:rFonts w:ascii="Arial" w:eastAsia="Times New Roman" w:hAnsi="Arial" w:cs="Arial"/>
          <w:color w:val="000000"/>
          <w:lang w:val="en-GB" w:eastAsia="en-AU"/>
        </w:rPr>
        <w:t>Any separate electronic records will be kept on a securely managed computer system</w:t>
      </w:r>
      <w:r w:rsidR="00082732">
        <w:rPr>
          <w:rFonts w:ascii="Arial" w:eastAsia="Times New Roman" w:hAnsi="Arial" w:cs="Arial"/>
          <w:color w:val="000000"/>
          <w:lang w:val="en-GB" w:eastAsia="en-AU"/>
        </w:rPr>
        <w:t xml:space="preserve"> and access will only be accessible</w:t>
      </w:r>
      <w:r w:rsidRPr="00CB5D1D">
        <w:rPr>
          <w:rFonts w:ascii="Arial" w:eastAsia="Times New Roman" w:hAnsi="Arial" w:cs="Arial"/>
          <w:color w:val="000000"/>
          <w:lang w:val="en-GB" w:eastAsia="en-AU"/>
        </w:rPr>
        <w:t xml:space="preserve"> to employees </w:t>
      </w:r>
      <w:r w:rsidR="00CD22C0">
        <w:rPr>
          <w:rFonts w:ascii="Arial" w:eastAsia="Times New Roman" w:hAnsi="Arial" w:cs="Arial"/>
          <w:color w:val="000000"/>
          <w:lang w:val="en-GB" w:eastAsia="en-AU"/>
        </w:rPr>
        <w:t xml:space="preserve">and direct contractors </w:t>
      </w:r>
      <w:r w:rsidRPr="00CB5D1D">
        <w:rPr>
          <w:rFonts w:ascii="Arial" w:eastAsia="Times New Roman" w:hAnsi="Arial" w:cs="Arial"/>
          <w:color w:val="000000"/>
          <w:lang w:val="en-GB" w:eastAsia="en-AU"/>
        </w:rPr>
        <w:t>doing work related to the purpose of the IRRS Service.</w:t>
      </w:r>
    </w:p>
    <w:p w:rsidR="00CB5D1D" w:rsidRPr="00CB5D1D" w:rsidRDefault="00CB5D1D" w:rsidP="009E7A39">
      <w:pPr>
        <w:numPr>
          <w:ilvl w:val="2"/>
          <w:numId w:val="38"/>
        </w:numPr>
        <w:autoSpaceDE w:val="0"/>
        <w:autoSpaceDN w:val="0"/>
        <w:adjustRightInd w:val="0"/>
        <w:spacing w:after="120" w:line="240" w:lineRule="auto"/>
        <w:jc w:val="both"/>
        <w:rPr>
          <w:rFonts w:ascii="Arial" w:eastAsia="Times New Roman" w:hAnsi="Arial" w:cs="Arial"/>
          <w:color w:val="000000"/>
          <w:lang w:val="en-GB" w:eastAsia="en-AU"/>
        </w:rPr>
      </w:pPr>
      <w:r w:rsidRPr="00CB5D1D">
        <w:rPr>
          <w:rFonts w:ascii="Arial" w:eastAsia="Times New Roman" w:hAnsi="Arial" w:cs="Arial"/>
          <w:color w:val="000000"/>
          <w:lang w:val="en-GB" w:eastAsia="en-AU"/>
        </w:rPr>
        <w:t>Any separate physical records will be securely stored and access must only be allowed to employees</w:t>
      </w:r>
      <w:r w:rsidR="00CD22C0">
        <w:rPr>
          <w:rFonts w:ascii="Arial" w:eastAsia="Times New Roman" w:hAnsi="Arial" w:cs="Arial"/>
          <w:color w:val="000000"/>
          <w:lang w:val="en-GB" w:eastAsia="en-AU"/>
        </w:rPr>
        <w:t xml:space="preserve"> and direct contractors</w:t>
      </w:r>
      <w:r w:rsidRPr="00CB5D1D">
        <w:rPr>
          <w:rFonts w:ascii="Arial" w:eastAsia="Times New Roman" w:hAnsi="Arial" w:cs="Arial"/>
          <w:color w:val="000000"/>
          <w:lang w:val="en-GB" w:eastAsia="en-AU"/>
        </w:rPr>
        <w:t xml:space="preserve"> doing work related to the purpose of the IRRS Service.</w:t>
      </w:r>
    </w:p>
    <w:p w:rsidR="00CB5D1D" w:rsidRPr="00CB5D1D" w:rsidRDefault="00CB5D1D" w:rsidP="009E7A39">
      <w:pPr>
        <w:numPr>
          <w:ilvl w:val="2"/>
          <w:numId w:val="38"/>
        </w:numPr>
        <w:autoSpaceDE w:val="0"/>
        <w:autoSpaceDN w:val="0"/>
        <w:adjustRightInd w:val="0"/>
        <w:spacing w:after="120" w:line="240" w:lineRule="auto"/>
        <w:jc w:val="both"/>
        <w:rPr>
          <w:rFonts w:ascii="Arial" w:eastAsia="Times New Roman" w:hAnsi="Arial" w:cs="Arial"/>
          <w:color w:val="000000"/>
          <w:lang w:val="en-GB" w:eastAsia="en-AU"/>
        </w:rPr>
      </w:pPr>
      <w:r w:rsidRPr="00CB5D1D">
        <w:rPr>
          <w:rFonts w:ascii="Arial" w:eastAsia="Times New Roman" w:hAnsi="Arial" w:cs="Arial"/>
          <w:color w:val="000000"/>
          <w:lang w:val="en-GB" w:eastAsia="en-AU"/>
        </w:rPr>
        <w:t>All information received by the Provider will be destroyed when it is no longer needed for the purposes of the IRRS Service or required to be retained under the Public Records Act 2005</w:t>
      </w:r>
      <w:r w:rsidR="00CD22C0">
        <w:rPr>
          <w:rFonts w:ascii="Arial" w:eastAsia="Times New Roman" w:hAnsi="Arial" w:cs="Arial"/>
          <w:color w:val="000000"/>
          <w:lang w:val="en-GB" w:eastAsia="en-AU"/>
        </w:rPr>
        <w:t xml:space="preserve"> or any other relevant legislation.</w:t>
      </w:r>
    </w:p>
    <w:p w:rsidR="00CB5D1D" w:rsidRPr="00CB5D1D" w:rsidRDefault="00CB5D1D" w:rsidP="009E7A39">
      <w:pPr>
        <w:numPr>
          <w:ilvl w:val="0"/>
          <w:numId w:val="38"/>
        </w:numPr>
        <w:autoSpaceDE w:val="0"/>
        <w:autoSpaceDN w:val="0"/>
        <w:adjustRightInd w:val="0"/>
        <w:spacing w:before="240" w:after="120" w:line="240" w:lineRule="auto"/>
        <w:jc w:val="both"/>
        <w:rPr>
          <w:rFonts w:ascii="Arial" w:eastAsia="Times New Roman" w:hAnsi="Arial" w:cs="Arial"/>
          <w:b/>
          <w:color w:val="000000"/>
          <w:lang w:val="en-GB" w:eastAsia="en-AU"/>
        </w:rPr>
      </w:pPr>
      <w:r w:rsidRPr="00CB5D1D">
        <w:rPr>
          <w:rFonts w:ascii="Arial" w:eastAsia="Times New Roman" w:hAnsi="Arial" w:cs="Arial"/>
          <w:b/>
          <w:color w:val="000000"/>
          <w:lang w:val="en-GB" w:eastAsia="en-AU"/>
        </w:rPr>
        <w:t>Breaches of security or confidentiality</w:t>
      </w:r>
    </w:p>
    <w:p w:rsidR="00CB5D1D" w:rsidRPr="00CB5D1D" w:rsidRDefault="00CB5D1D" w:rsidP="009E7A39">
      <w:pPr>
        <w:numPr>
          <w:ilvl w:val="1"/>
          <w:numId w:val="38"/>
        </w:numPr>
        <w:autoSpaceDE w:val="0"/>
        <w:autoSpaceDN w:val="0"/>
        <w:adjustRightInd w:val="0"/>
        <w:spacing w:after="120" w:line="240" w:lineRule="auto"/>
        <w:jc w:val="both"/>
        <w:rPr>
          <w:rFonts w:ascii="Arial" w:eastAsia="Times New Roman" w:hAnsi="Arial" w:cs="Arial"/>
          <w:color w:val="000000"/>
          <w:lang w:val="en-GB" w:eastAsia="en-AU"/>
        </w:rPr>
      </w:pPr>
      <w:r w:rsidRPr="00CB5D1D">
        <w:rPr>
          <w:rFonts w:ascii="Arial" w:eastAsia="Times New Roman" w:hAnsi="Arial" w:cs="Arial"/>
          <w:color w:val="000000"/>
          <w:lang w:val="en-GB" w:eastAsia="en-AU"/>
        </w:rPr>
        <w:t>The Provider must immediately notify</w:t>
      </w:r>
      <w:r w:rsidR="006623E3">
        <w:rPr>
          <w:rFonts w:ascii="Arial" w:eastAsia="Times New Roman" w:hAnsi="Arial" w:cs="Arial"/>
          <w:color w:val="000000"/>
          <w:lang w:val="en-GB" w:eastAsia="en-AU"/>
        </w:rPr>
        <w:t xml:space="preserve"> the Purchasing Agency</w:t>
      </w:r>
      <w:r w:rsidRPr="00CB5D1D">
        <w:rPr>
          <w:rFonts w:ascii="Arial" w:eastAsia="Times New Roman" w:hAnsi="Arial" w:cs="Arial"/>
          <w:color w:val="000000"/>
          <w:lang w:val="en-GB" w:eastAsia="en-AU"/>
        </w:rPr>
        <w:t xml:space="preserve"> of any actual or suspected unauthorised use or disclosure of any information exchanged under this Agreement.</w:t>
      </w:r>
    </w:p>
    <w:p w:rsidR="00CB5D1D" w:rsidRPr="00CB5D1D" w:rsidRDefault="00CB5D1D" w:rsidP="009E7A39">
      <w:pPr>
        <w:numPr>
          <w:ilvl w:val="1"/>
          <w:numId w:val="38"/>
        </w:numPr>
        <w:autoSpaceDE w:val="0"/>
        <w:autoSpaceDN w:val="0"/>
        <w:adjustRightInd w:val="0"/>
        <w:spacing w:after="120" w:line="240" w:lineRule="auto"/>
        <w:jc w:val="both"/>
        <w:rPr>
          <w:rFonts w:ascii="Arial" w:eastAsia="Times New Roman" w:hAnsi="Arial" w:cs="Arial"/>
          <w:color w:val="000000"/>
          <w:lang w:val="en-GB" w:eastAsia="en-AU"/>
        </w:rPr>
      </w:pPr>
      <w:r w:rsidRPr="00CB5D1D">
        <w:rPr>
          <w:rFonts w:ascii="Arial" w:eastAsia="Times New Roman" w:hAnsi="Arial" w:cs="Arial"/>
          <w:color w:val="000000"/>
          <w:lang w:val="en-GB" w:eastAsia="en-AU"/>
        </w:rPr>
        <w:t>The Provider will cooperate with the Purchasing Agency where any investigation is undertaken into and actual or suspected unauthorised use or disclosure of any client information.</w:t>
      </w:r>
    </w:p>
    <w:p w:rsidR="00CB5D1D" w:rsidRPr="009E7A39" w:rsidRDefault="00CB5D1D" w:rsidP="009E7A39">
      <w:pPr>
        <w:pStyle w:val="ListParagraph"/>
        <w:numPr>
          <w:ilvl w:val="0"/>
          <w:numId w:val="38"/>
        </w:numPr>
        <w:spacing w:line="256" w:lineRule="auto"/>
        <w:rPr>
          <w:rFonts w:ascii="Arial" w:hAnsi="Arial" w:cs="Arial"/>
          <w:b/>
          <w:lang w:val="en-GB"/>
        </w:rPr>
      </w:pPr>
      <w:r w:rsidRPr="009E7A39">
        <w:rPr>
          <w:rFonts w:ascii="Arial" w:hAnsi="Arial" w:cs="Arial"/>
          <w:b/>
        </w:rPr>
        <w:t>Payments Under This Agreement</w:t>
      </w:r>
    </w:p>
    <w:p w:rsidR="00CB5D1D" w:rsidRPr="00CB5D1D" w:rsidRDefault="00CB5D1D" w:rsidP="009E7A39">
      <w:pPr>
        <w:numPr>
          <w:ilvl w:val="1"/>
          <w:numId w:val="38"/>
        </w:numPr>
        <w:spacing w:line="256" w:lineRule="auto"/>
        <w:contextualSpacing/>
        <w:rPr>
          <w:rFonts w:ascii="Arial" w:hAnsi="Arial" w:cs="Arial"/>
          <w:szCs w:val="20"/>
        </w:rPr>
      </w:pPr>
      <w:r w:rsidRPr="00CB5D1D">
        <w:rPr>
          <w:rFonts w:ascii="Arial" w:hAnsi="Arial" w:cs="Arial"/>
        </w:rPr>
        <w:t xml:space="preserve">All funding amounts in this agreement are stated exclusive of GST and are payable, on receipt of an appropriate invoice, subject to the terms and conditions of this agreement. Providers cannot submit GST invoices for IRRS. This is because GST is within the claim value of the Income Related Rent Subsidy </w:t>
      </w:r>
    </w:p>
    <w:p w:rsidR="000D384A" w:rsidRPr="009E7A39" w:rsidRDefault="00CB5D1D" w:rsidP="009E7A39">
      <w:pPr>
        <w:pStyle w:val="ListParagraph"/>
        <w:numPr>
          <w:ilvl w:val="1"/>
          <w:numId w:val="38"/>
        </w:numPr>
        <w:spacing w:line="256" w:lineRule="auto"/>
        <w:jc w:val="both"/>
        <w:rPr>
          <w:rFonts w:ascii="Arial" w:hAnsi="Arial" w:cs="Arial"/>
          <w:b/>
        </w:rPr>
      </w:pPr>
      <w:r w:rsidRPr="009E7A39">
        <w:rPr>
          <w:rFonts w:ascii="Arial" w:hAnsi="Arial" w:cs="Arial"/>
        </w:rPr>
        <w:t>All payments due under this agreement will be made by direct payment into the Provider’s nominated bank account. The Provider will supply the Ministry with verification of the nominated bank account details (either a pre-printed deposit slip or other bank-headed stationery) to enable this to occur</w:t>
      </w:r>
      <w:r w:rsidR="00A170E4">
        <w:rPr>
          <w:rFonts w:ascii="Arial" w:hAnsi="Arial" w:cs="Arial"/>
        </w:rPr>
        <w:t>.</w:t>
      </w:r>
    </w:p>
    <w:p w:rsidR="00E45AA2" w:rsidRPr="009E7A39" w:rsidRDefault="00E45AA2" w:rsidP="009E7A39">
      <w:pPr>
        <w:pStyle w:val="ListParagraph"/>
        <w:spacing w:line="256" w:lineRule="auto"/>
        <w:ind w:left="1134"/>
        <w:jc w:val="both"/>
        <w:rPr>
          <w:rFonts w:ascii="Arial" w:hAnsi="Arial" w:cs="Arial"/>
          <w:b/>
        </w:rPr>
      </w:pPr>
    </w:p>
    <w:p w:rsidR="000D384A" w:rsidRPr="000D384A" w:rsidRDefault="000D384A" w:rsidP="000D384A">
      <w:pPr>
        <w:pStyle w:val="ListParagraph"/>
        <w:numPr>
          <w:ilvl w:val="0"/>
          <w:numId w:val="38"/>
        </w:numPr>
        <w:spacing w:line="256" w:lineRule="auto"/>
        <w:jc w:val="both"/>
        <w:rPr>
          <w:rFonts w:ascii="Arial" w:hAnsi="Arial" w:cs="Arial"/>
          <w:b/>
        </w:rPr>
      </w:pPr>
      <w:r w:rsidRPr="000D384A">
        <w:rPr>
          <w:rFonts w:ascii="Arial" w:hAnsi="Arial" w:cs="Arial"/>
          <w:b/>
        </w:rPr>
        <w:t>Payment Schedule / Method</w:t>
      </w:r>
    </w:p>
    <w:p w:rsidR="00CB5D1D" w:rsidRPr="00CB5D1D" w:rsidRDefault="00CB5D1D" w:rsidP="009E7A39">
      <w:pPr>
        <w:numPr>
          <w:ilvl w:val="1"/>
          <w:numId w:val="38"/>
        </w:numPr>
        <w:contextualSpacing/>
        <w:jc w:val="both"/>
        <w:rPr>
          <w:rFonts w:ascii="Arial" w:hAnsi="Arial" w:cs="Arial"/>
        </w:rPr>
      </w:pPr>
      <w:r w:rsidRPr="00CB5D1D">
        <w:rPr>
          <w:rFonts w:ascii="Arial" w:hAnsi="Arial" w:cs="Arial"/>
        </w:rPr>
        <w:t xml:space="preserve">The Purchasing Agency will make payments to the Provider as set out in Table 5 of the Outcome Agreement. </w:t>
      </w:r>
      <w:r w:rsidR="00A170E4">
        <w:rPr>
          <w:rFonts w:ascii="Arial" w:hAnsi="Arial" w:cs="Arial"/>
        </w:rPr>
        <w:t xml:space="preserve">Payments will be made within 4 </w:t>
      </w:r>
      <w:r w:rsidRPr="00CB5D1D">
        <w:rPr>
          <w:rFonts w:ascii="Arial" w:hAnsi="Arial" w:cs="Arial"/>
        </w:rPr>
        <w:t xml:space="preserve">working days on the basis of, and subject to, receipt the relevant fortnightly IRRS Schedule generated by the Provider and being confirmed and approved by the Purchasing Agency. </w:t>
      </w:r>
    </w:p>
    <w:p w:rsidR="000D384A" w:rsidRDefault="000D384A" w:rsidP="009E7A39">
      <w:pPr>
        <w:spacing w:after="0"/>
        <w:ind w:left="567"/>
        <w:contextualSpacing/>
        <w:jc w:val="both"/>
        <w:rPr>
          <w:rFonts w:ascii="Arial" w:hAnsi="Arial" w:cs="Arial"/>
        </w:rPr>
      </w:pPr>
    </w:p>
    <w:p w:rsidR="00CB5D1D" w:rsidRPr="00CB5D1D" w:rsidRDefault="00CB5D1D" w:rsidP="009E7A39">
      <w:pPr>
        <w:numPr>
          <w:ilvl w:val="1"/>
          <w:numId w:val="38"/>
        </w:numPr>
        <w:spacing w:after="0"/>
        <w:contextualSpacing/>
        <w:jc w:val="both"/>
        <w:rPr>
          <w:rFonts w:ascii="Arial" w:hAnsi="Arial" w:cs="Arial"/>
        </w:rPr>
      </w:pPr>
      <w:r w:rsidRPr="00CB5D1D">
        <w:rPr>
          <w:rFonts w:ascii="Arial" w:hAnsi="Arial" w:cs="Arial"/>
        </w:rPr>
        <w:lastRenderedPageBreak/>
        <w:t xml:space="preserve">The Provider is responsible for ensuring the information contained in the reports accurately reflects the services provided, prior to submitting a valid invoice to the </w:t>
      </w:r>
      <w:r w:rsidR="006623E3" w:rsidRPr="00CB5D1D">
        <w:rPr>
          <w:rFonts w:ascii="Arial" w:hAnsi="Arial" w:cs="Arial"/>
        </w:rPr>
        <w:t>Purchasing Agency</w:t>
      </w:r>
      <w:r w:rsidR="006623E3">
        <w:rPr>
          <w:rFonts w:ascii="Arial" w:hAnsi="Arial" w:cs="Arial"/>
        </w:rPr>
        <w:t>.</w:t>
      </w:r>
    </w:p>
    <w:bookmarkEnd w:id="1"/>
    <w:bookmarkEnd w:id="2"/>
    <w:p w:rsidR="00713C3B" w:rsidRDefault="00713C3B" w:rsidP="00AC5295">
      <w:pPr>
        <w:ind w:left="480" w:hanging="480"/>
        <w:jc w:val="both"/>
        <w:rPr>
          <w:rFonts w:ascii="Arial" w:hAnsi="Arial" w:cs="Arial"/>
        </w:rPr>
      </w:pPr>
    </w:p>
    <w:p w:rsidR="00F92A53" w:rsidRDefault="00F92A53" w:rsidP="00AC5295">
      <w:pPr>
        <w:ind w:left="480" w:hanging="480"/>
        <w:jc w:val="both"/>
        <w:rPr>
          <w:rFonts w:ascii="Arial" w:hAnsi="Arial" w:cs="Arial"/>
        </w:rPr>
        <w:sectPr w:rsidR="00F92A53" w:rsidSect="008B67BB">
          <w:pgSz w:w="11906" w:h="16838"/>
          <w:pgMar w:top="1440" w:right="1440" w:bottom="1440" w:left="1440" w:header="709" w:footer="709" w:gutter="0"/>
          <w:cols w:space="708"/>
          <w:docGrid w:linePitch="360"/>
        </w:sectPr>
      </w:pP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4"/>
      </w:tblGrid>
      <w:tr w:rsidR="008B67BB" w:rsidRPr="00813C00" w:rsidTr="009E7A39">
        <w:trPr>
          <w:trHeight w:val="487"/>
          <w:tblHeader/>
        </w:trPr>
        <w:tc>
          <w:tcPr>
            <w:tcW w:w="15133" w:type="dxa"/>
            <w:vAlign w:val="center"/>
          </w:tcPr>
          <w:p w:rsidR="00F33D95" w:rsidRDefault="009E7A39" w:rsidP="00971B18">
            <w:pPr>
              <w:spacing w:before="60" w:after="60"/>
              <w:jc w:val="center"/>
              <w:rPr>
                <w:rFonts w:ascii="Arial" w:hAnsi="Arial" w:cs="Arial"/>
                <w:b/>
                <w:sz w:val="28"/>
                <w:szCs w:val="28"/>
                <w:u w:val="single"/>
              </w:rPr>
            </w:pPr>
            <w:r>
              <w:rPr>
                <w:rFonts w:ascii="Arial" w:hAnsi="Arial" w:cs="Arial"/>
                <w:b/>
                <w:sz w:val="28"/>
                <w:szCs w:val="28"/>
                <w:u w:val="single"/>
              </w:rPr>
              <w:lastRenderedPageBreak/>
              <w:t>Appendix 1</w:t>
            </w:r>
            <w:r w:rsidR="0093297D">
              <w:rPr>
                <w:rFonts w:ascii="Arial" w:hAnsi="Arial" w:cs="Arial"/>
                <w:b/>
                <w:sz w:val="28"/>
                <w:szCs w:val="28"/>
                <w:u w:val="single"/>
              </w:rPr>
              <w:t>0</w:t>
            </w:r>
            <w:r w:rsidR="00713C3B" w:rsidRPr="009E3708">
              <w:rPr>
                <w:rFonts w:ascii="Arial" w:hAnsi="Arial" w:cs="Arial"/>
                <w:b/>
                <w:sz w:val="28"/>
                <w:szCs w:val="28"/>
                <w:u w:val="single"/>
              </w:rPr>
              <w:t xml:space="preserve">– </w:t>
            </w:r>
            <w:r w:rsidR="00713C3B">
              <w:rPr>
                <w:rFonts w:ascii="Arial" w:hAnsi="Arial" w:cs="Arial"/>
                <w:b/>
                <w:sz w:val="28"/>
                <w:szCs w:val="28"/>
                <w:u w:val="single"/>
              </w:rPr>
              <w:t>Reporting Templates</w:t>
            </w:r>
            <w:r w:rsidR="002D4F88">
              <w:rPr>
                <w:rFonts w:ascii="Arial" w:hAnsi="Arial" w:cs="Arial"/>
                <w:b/>
                <w:sz w:val="28"/>
                <w:szCs w:val="28"/>
                <w:u w:val="single"/>
              </w:rPr>
              <w:t xml:space="preserve"> </w:t>
            </w:r>
            <w:r w:rsidR="00713C3B">
              <w:rPr>
                <w:rFonts w:ascii="Arial" w:hAnsi="Arial" w:cs="Arial"/>
                <w:b/>
                <w:sz w:val="28"/>
                <w:szCs w:val="28"/>
                <w:u w:val="single"/>
              </w:rPr>
              <w:t xml:space="preserve">IRRS Fortnightly Schedule  </w:t>
            </w:r>
          </w:p>
          <w:p w:rsidR="0091456F" w:rsidRDefault="005C5BF7" w:rsidP="00971B18">
            <w:pPr>
              <w:spacing w:before="60" w:after="60"/>
              <w:jc w:val="center"/>
              <w:rPr>
                <w:rFonts w:ascii="Arial" w:hAnsi="Arial" w:cs="Arial"/>
              </w:rPr>
            </w:pPr>
            <w:r w:rsidRPr="005C5BF7">
              <w:rPr>
                <w:noProof/>
                <w:lang w:eastAsia="en-NZ"/>
              </w:rPr>
              <w:drawing>
                <wp:inline distT="0" distB="0" distL="0" distR="0" wp14:anchorId="64F8891F" wp14:editId="2DB15F27">
                  <wp:extent cx="6276975" cy="479491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6397" cy="4809746"/>
                          </a:xfrm>
                          <a:prstGeom prst="rect">
                            <a:avLst/>
                          </a:prstGeom>
                          <a:noFill/>
                          <a:ln>
                            <a:noFill/>
                          </a:ln>
                        </pic:spPr>
                      </pic:pic>
                    </a:graphicData>
                  </a:graphic>
                </wp:inline>
              </w:drawing>
            </w:r>
            <w:r w:rsidR="008B67BB" w:rsidRPr="00813C00">
              <w:rPr>
                <w:rFonts w:ascii="Arial" w:hAnsi="Arial" w:cs="Arial"/>
              </w:rPr>
              <w:br w:type="page"/>
            </w:r>
          </w:p>
          <w:p w:rsidR="0091456F" w:rsidRDefault="0091456F" w:rsidP="00971B18">
            <w:pPr>
              <w:spacing w:before="60" w:after="60"/>
              <w:jc w:val="center"/>
              <w:rPr>
                <w:rFonts w:ascii="Arial" w:hAnsi="Arial" w:cs="Arial"/>
              </w:rPr>
            </w:pPr>
          </w:p>
          <w:p w:rsidR="00F33D95" w:rsidRDefault="00F33D95" w:rsidP="00971B18">
            <w:pPr>
              <w:spacing w:before="60" w:after="60"/>
              <w:jc w:val="center"/>
              <w:rPr>
                <w:rFonts w:ascii="Arial" w:hAnsi="Arial" w:cs="Arial"/>
              </w:rPr>
            </w:pPr>
          </w:p>
          <w:p w:rsidR="008B67BB" w:rsidRPr="00813C00" w:rsidRDefault="008B67BB" w:rsidP="00971B18">
            <w:pPr>
              <w:spacing w:before="60" w:after="60"/>
              <w:jc w:val="center"/>
              <w:rPr>
                <w:rFonts w:ascii="Arial" w:hAnsi="Arial" w:cs="Arial"/>
                <w:b/>
              </w:rPr>
            </w:pPr>
            <w:r w:rsidRPr="00813C00">
              <w:rPr>
                <w:rFonts w:ascii="Arial" w:hAnsi="Arial" w:cs="Arial"/>
                <w:b/>
              </w:rPr>
              <w:lastRenderedPageBreak/>
              <w:t xml:space="preserve">Narrative Report </w:t>
            </w:r>
          </w:p>
        </w:tc>
      </w:tr>
      <w:tr w:rsidR="008B67BB" w:rsidRPr="00813C00" w:rsidTr="009E7A39">
        <w:tc>
          <w:tcPr>
            <w:tcW w:w="15133" w:type="dxa"/>
          </w:tcPr>
          <w:p w:rsidR="0091456F" w:rsidRDefault="0091456F" w:rsidP="00D71A22">
            <w:pPr>
              <w:spacing w:before="60" w:after="60"/>
              <w:rPr>
                <w:rFonts w:ascii="Arial" w:hAnsi="Arial" w:cs="Arial"/>
              </w:rPr>
            </w:pPr>
            <w:r>
              <w:rPr>
                <w:rFonts w:ascii="Arial" w:hAnsi="Arial" w:cs="Arial"/>
              </w:rPr>
              <w:lastRenderedPageBreak/>
              <w:t>Narrative report</w:t>
            </w:r>
          </w:p>
          <w:p w:rsidR="008B67BB" w:rsidRPr="00813C00" w:rsidRDefault="008B67BB" w:rsidP="00D71A22">
            <w:pPr>
              <w:spacing w:before="60" w:after="60"/>
              <w:rPr>
                <w:rFonts w:ascii="Arial" w:hAnsi="Arial" w:cs="Arial"/>
              </w:rPr>
            </w:pPr>
            <w:r w:rsidRPr="00813C00">
              <w:rPr>
                <w:rFonts w:ascii="Arial" w:hAnsi="Arial" w:cs="Arial"/>
              </w:rPr>
              <w:t xml:space="preserve">1.  Describe how the clients (or agencies) benefited from the Service and provide examples of success stories (see guidance notes below).  </w:t>
            </w:r>
          </w:p>
          <w:p w:rsidR="008B67BB" w:rsidRPr="00813C00" w:rsidRDefault="008B67BB" w:rsidP="00D71A22">
            <w:pPr>
              <w:spacing w:before="60" w:after="60"/>
              <w:rPr>
                <w:rFonts w:ascii="Arial" w:hAnsi="Arial" w:cs="Arial"/>
              </w:rPr>
            </w:pPr>
          </w:p>
          <w:p w:rsidR="008B67BB" w:rsidRPr="00813C00" w:rsidRDefault="008B67BB" w:rsidP="00D71A22">
            <w:pPr>
              <w:spacing w:before="60" w:after="60"/>
              <w:rPr>
                <w:rFonts w:ascii="Arial" w:hAnsi="Arial" w:cs="Arial"/>
              </w:rPr>
            </w:pPr>
          </w:p>
        </w:tc>
      </w:tr>
      <w:tr w:rsidR="008B67BB" w:rsidRPr="00813C00" w:rsidTr="009E7A39">
        <w:tc>
          <w:tcPr>
            <w:tcW w:w="15133" w:type="dxa"/>
          </w:tcPr>
          <w:p w:rsidR="008B67BB" w:rsidRPr="00813C00" w:rsidRDefault="008B67BB" w:rsidP="00D71A22">
            <w:pPr>
              <w:spacing w:before="60" w:after="60"/>
              <w:rPr>
                <w:rFonts w:ascii="Arial" w:hAnsi="Arial" w:cs="Arial"/>
              </w:rPr>
            </w:pPr>
            <w:r w:rsidRPr="00813C00">
              <w:rPr>
                <w:rFonts w:ascii="Arial" w:hAnsi="Arial" w:cs="Arial"/>
              </w:rPr>
              <w:t xml:space="preserve">2.  What trends, issues and/or impacts have been identified for the client group (or agencies) that influence the outcomes.  </w:t>
            </w:r>
          </w:p>
          <w:p w:rsidR="008B67BB" w:rsidRPr="00813C00" w:rsidRDefault="008B67BB" w:rsidP="00D71A22">
            <w:pPr>
              <w:spacing w:before="60" w:after="60"/>
              <w:rPr>
                <w:rFonts w:ascii="Arial" w:hAnsi="Arial" w:cs="Arial"/>
              </w:rPr>
            </w:pPr>
          </w:p>
          <w:p w:rsidR="008B67BB" w:rsidRPr="00813C00" w:rsidRDefault="008B67BB" w:rsidP="00D71A22">
            <w:pPr>
              <w:spacing w:before="60" w:after="60"/>
              <w:rPr>
                <w:rFonts w:ascii="Arial" w:hAnsi="Arial" w:cs="Arial"/>
              </w:rPr>
            </w:pPr>
          </w:p>
        </w:tc>
      </w:tr>
      <w:tr w:rsidR="008B67BB" w:rsidRPr="00813C00" w:rsidTr="009E7A39">
        <w:tc>
          <w:tcPr>
            <w:tcW w:w="15133" w:type="dxa"/>
          </w:tcPr>
          <w:p w:rsidR="008B67BB" w:rsidRPr="00813C00" w:rsidRDefault="008B67BB" w:rsidP="00D71A22">
            <w:pPr>
              <w:spacing w:before="60" w:after="60"/>
              <w:rPr>
                <w:rFonts w:ascii="Arial" w:hAnsi="Arial" w:cs="Arial"/>
              </w:rPr>
            </w:pPr>
            <w:r w:rsidRPr="00813C00">
              <w:rPr>
                <w:rFonts w:ascii="Arial" w:hAnsi="Arial" w:cs="Arial"/>
              </w:rPr>
              <w:t xml:space="preserve">3.  Describe the strategies or practices in place to encourage </w:t>
            </w:r>
            <w:r w:rsidR="00B11CCD">
              <w:rPr>
                <w:rFonts w:ascii="Arial" w:hAnsi="Arial" w:cs="Arial"/>
              </w:rPr>
              <w:t xml:space="preserve">more </w:t>
            </w:r>
            <w:r w:rsidR="00812AC4">
              <w:rPr>
                <w:rFonts w:ascii="Arial" w:hAnsi="Arial" w:cs="Arial"/>
              </w:rPr>
              <w:t>supply</w:t>
            </w:r>
            <w:r w:rsidR="00B11CCD">
              <w:rPr>
                <w:rFonts w:ascii="Arial" w:hAnsi="Arial" w:cs="Arial"/>
              </w:rPr>
              <w:t xml:space="preserve"> in the Social Housing market</w:t>
            </w:r>
            <w:r w:rsidRPr="00813C00">
              <w:rPr>
                <w:rFonts w:ascii="Arial" w:hAnsi="Arial" w:cs="Arial"/>
              </w:rPr>
              <w:t xml:space="preserve">.  </w:t>
            </w:r>
          </w:p>
          <w:p w:rsidR="008B67BB" w:rsidRPr="00813C00" w:rsidRDefault="008B67BB" w:rsidP="00D71A22">
            <w:pPr>
              <w:spacing w:before="60" w:after="60"/>
              <w:rPr>
                <w:rFonts w:ascii="Arial" w:hAnsi="Arial" w:cs="Arial"/>
              </w:rPr>
            </w:pPr>
          </w:p>
          <w:p w:rsidR="008B67BB" w:rsidRPr="00813C00" w:rsidRDefault="008B67BB" w:rsidP="00D71A22">
            <w:pPr>
              <w:spacing w:before="60" w:after="60"/>
              <w:rPr>
                <w:rFonts w:ascii="Arial" w:hAnsi="Arial" w:cs="Arial"/>
              </w:rPr>
            </w:pPr>
          </w:p>
        </w:tc>
      </w:tr>
      <w:tr w:rsidR="008B67BB" w:rsidRPr="00813C00" w:rsidTr="009E7A39">
        <w:tc>
          <w:tcPr>
            <w:tcW w:w="15133" w:type="dxa"/>
          </w:tcPr>
          <w:p w:rsidR="008B67BB" w:rsidRPr="00813C00" w:rsidRDefault="008B67BB" w:rsidP="00D71A22">
            <w:pPr>
              <w:spacing w:before="60" w:after="60"/>
              <w:rPr>
                <w:rFonts w:ascii="Arial" w:hAnsi="Arial" w:cs="Arial"/>
              </w:rPr>
            </w:pPr>
            <w:r w:rsidRPr="00813C00">
              <w:rPr>
                <w:rFonts w:ascii="Arial" w:hAnsi="Arial" w:cs="Arial"/>
              </w:rPr>
              <w:t xml:space="preserve">4.  Provide an explanation of the variances (if any) between volumes contracted and volumes </w:t>
            </w:r>
            <w:r w:rsidR="00B11CCD">
              <w:rPr>
                <w:rFonts w:ascii="Arial" w:hAnsi="Arial" w:cs="Arial"/>
              </w:rPr>
              <w:t>expected</w:t>
            </w:r>
            <w:r w:rsidRPr="00813C00">
              <w:rPr>
                <w:rFonts w:ascii="Arial" w:hAnsi="Arial" w:cs="Arial"/>
              </w:rPr>
              <w:t>.</w:t>
            </w:r>
          </w:p>
          <w:p w:rsidR="008B67BB" w:rsidRPr="00813C00" w:rsidRDefault="008B67BB" w:rsidP="00D71A22">
            <w:pPr>
              <w:spacing w:before="60" w:after="60"/>
              <w:rPr>
                <w:rFonts w:ascii="Arial" w:hAnsi="Arial" w:cs="Arial"/>
              </w:rPr>
            </w:pPr>
          </w:p>
          <w:p w:rsidR="008B67BB" w:rsidRPr="00813C00" w:rsidRDefault="008B67BB" w:rsidP="00D71A22">
            <w:pPr>
              <w:spacing w:before="60" w:after="60"/>
              <w:rPr>
                <w:rFonts w:ascii="Arial" w:hAnsi="Arial" w:cs="Arial"/>
              </w:rPr>
            </w:pPr>
          </w:p>
        </w:tc>
      </w:tr>
      <w:tr w:rsidR="008B67BB" w:rsidRPr="00813C00" w:rsidTr="009E7A39">
        <w:tc>
          <w:tcPr>
            <w:tcW w:w="15133" w:type="dxa"/>
          </w:tcPr>
          <w:p w:rsidR="008B67BB" w:rsidRPr="00813C00" w:rsidRDefault="008B67BB" w:rsidP="00971B18">
            <w:pPr>
              <w:spacing w:before="60" w:after="60"/>
              <w:rPr>
                <w:rFonts w:ascii="Arial" w:hAnsi="Arial" w:cs="Arial"/>
              </w:rPr>
            </w:pPr>
            <w:r w:rsidRPr="00971B18">
              <w:rPr>
                <w:rFonts w:ascii="Arial" w:hAnsi="Arial" w:cs="Arial"/>
              </w:rPr>
              <w:t xml:space="preserve">5.  Add Service specific </w:t>
            </w:r>
            <w:r w:rsidR="00971B18" w:rsidRPr="00971B18">
              <w:rPr>
                <w:rFonts w:ascii="Arial" w:hAnsi="Arial" w:cs="Arial"/>
              </w:rPr>
              <w:t>questions here</w:t>
            </w:r>
            <w:r w:rsidRPr="00971B18">
              <w:rPr>
                <w:rFonts w:ascii="Arial" w:hAnsi="Arial" w:cs="Arial"/>
              </w:rPr>
              <w:t>.</w:t>
            </w:r>
          </w:p>
        </w:tc>
      </w:tr>
    </w:tbl>
    <w:p w:rsidR="008B67BB" w:rsidRPr="00813C00" w:rsidRDefault="008B67BB" w:rsidP="008B67BB">
      <w:pPr>
        <w:rPr>
          <w:rFonts w:ascii="Arial" w:hAnsi="Arial" w:cs="Arial"/>
        </w:rPr>
      </w:pPr>
      <w:r w:rsidRPr="00813C00">
        <w:rPr>
          <w:rFonts w:ascii="Arial" w:hAnsi="Arial" w:cs="Arial"/>
        </w:rPr>
        <w:t>Guidance Notes:</w:t>
      </w:r>
    </w:p>
    <w:p w:rsidR="008B67BB" w:rsidRPr="00813C00" w:rsidRDefault="008B67BB" w:rsidP="008B67BB">
      <w:pPr>
        <w:rPr>
          <w:rFonts w:ascii="Arial" w:hAnsi="Arial" w:cs="Arial"/>
        </w:rPr>
      </w:pPr>
      <w:r w:rsidRPr="00813C00">
        <w:rPr>
          <w:rFonts w:ascii="Arial" w:hAnsi="Arial" w:cs="Arial"/>
        </w:rPr>
        <w:t xml:space="preserve">This information could be sourced through client (or agencies) feedback forms, provider assessments and Service evaluations.  Note that the information provided should be </w:t>
      </w:r>
      <w:r w:rsidR="00811E50" w:rsidRPr="00813C00">
        <w:rPr>
          <w:rFonts w:ascii="Arial" w:hAnsi="Arial" w:cs="Arial"/>
        </w:rPr>
        <w:t>non-identifying</w:t>
      </w:r>
      <w:r w:rsidRPr="00813C00">
        <w:rPr>
          <w:rFonts w:ascii="Arial" w:hAnsi="Arial" w:cs="Arial"/>
        </w:rPr>
        <w:t>.</w:t>
      </w:r>
    </w:p>
    <w:p w:rsidR="008B67BB" w:rsidRPr="00813C00" w:rsidRDefault="008B67BB" w:rsidP="008B67BB">
      <w:pPr>
        <w:ind w:firstLine="720"/>
        <w:rPr>
          <w:rFonts w:ascii="Arial" w:hAnsi="Arial" w:cs="Arial"/>
        </w:rPr>
      </w:pPr>
      <w:r w:rsidRPr="00813C00">
        <w:rPr>
          <w:rFonts w:ascii="Arial" w:hAnsi="Arial" w:cs="Arial"/>
        </w:rPr>
        <w:t>In providing examples of success stories, consider the following:</w:t>
      </w:r>
    </w:p>
    <w:p w:rsidR="008B67BB" w:rsidRPr="00813C00" w:rsidRDefault="008B67BB" w:rsidP="008B67BB">
      <w:pPr>
        <w:numPr>
          <w:ilvl w:val="0"/>
          <w:numId w:val="23"/>
        </w:numPr>
        <w:spacing w:after="0" w:line="240" w:lineRule="auto"/>
        <w:rPr>
          <w:rFonts w:ascii="Arial" w:hAnsi="Arial" w:cs="Arial"/>
        </w:rPr>
      </w:pPr>
      <w:r w:rsidRPr="00813C00">
        <w:rPr>
          <w:rFonts w:ascii="Arial" w:hAnsi="Arial" w:cs="Arial"/>
        </w:rPr>
        <w:t>Background and presenting problems</w:t>
      </w:r>
    </w:p>
    <w:p w:rsidR="008B67BB" w:rsidRPr="00813C00" w:rsidRDefault="008B67BB" w:rsidP="008B67BB">
      <w:pPr>
        <w:numPr>
          <w:ilvl w:val="0"/>
          <w:numId w:val="23"/>
        </w:numPr>
        <w:spacing w:after="0" w:line="240" w:lineRule="auto"/>
        <w:rPr>
          <w:rFonts w:ascii="Arial" w:hAnsi="Arial" w:cs="Arial"/>
        </w:rPr>
      </w:pPr>
      <w:r w:rsidRPr="00813C00">
        <w:rPr>
          <w:rFonts w:ascii="Arial" w:hAnsi="Arial" w:cs="Arial"/>
        </w:rPr>
        <w:t>The types of support given to bring about change</w:t>
      </w:r>
    </w:p>
    <w:p w:rsidR="008B67BB" w:rsidRPr="00813C00" w:rsidRDefault="008B67BB" w:rsidP="008B67BB">
      <w:pPr>
        <w:numPr>
          <w:ilvl w:val="0"/>
          <w:numId w:val="23"/>
        </w:numPr>
        <w:spacing w:after="0" w:line="240" w:lineRule="auto"/>
        <w:rPr>
          <w:rFonts w:ascii="Arial" w:hAnsi="Arial" w:cs="Arial"/>
        </w:rPr>
      </w:pPr>
      <w:r w:rsidRPr="00813C00">
        <w:rPr>
          <w:rFonts w:ascii="Arial" w:hAnsi="Arial" w:cs="Arial"/>
        </w:rPr>
        <w:t>The changes or differences made by the client or community, e.g. knowledge, skills, attitude, behaviour and life circumstances.</w:t>
      </w:r>
    </w:p>
    <w:p w:rsidR="008B67BB" w:rsidRDefault="008B67BB" w:rsidP="008B67BB">
      <w:bookmarkStart w:id="3" w:name="_GoBack"/>
      <w:bookmarkEnd w:id="3"/>
    </w:p>
    <w:sectPr w:rsidR="008B67BB" w:rsidSect="00954E3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DD9" w:rsidRDefault="00276DD9">
      <w:pPr>
        <w:spacing w:after="0" w:line="240" w:lineRule="auto"/>
      </w:pPr>
      <w:r>
        <w:separator/>
      </w:r>
    </w:p>
  </w:endnote>
  <w:endnote w:type="continuationSeparator" w:id="0">
    <w:p w:rsidR="00276DD9" w:rsidRDefault="0027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pPr>
      <w:pStyle w:val="Footer"/>
    </w:pPr>
    <w:r w:rsidRPr="00E81EF9">
      <w:rPr>
        <w:sz w:val="16"/>
      </w:rPr>
      <w:t>Document2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rsidP="00D71A22">
    <w:pPr>
      <w:pStyle w:val="Footer"/>
      <w:pBdr>
        <w:top w:val="single" w:sz="4" w:space="1" w:color="D9D9D9"/>
      </w:pBdr>
      <w:jc w:val="right"/>
    </w:pPr>
    <w:r>
      <w:fldChar w:fldCharType="begin"/>
    </w:r>
    <w:r>
      <w:instrText xml:space="preserve"> PAGE   \* MERGEFORMAT </w:instrText>
    </w:r>
    <w:r>
      <w:fldChar w:fldCharType="separate"/>
    </w:r>
    <w:r w:rsidR="00737115">
      <w:rPr>
        <w:noProof/>
      </w:rPr>
      <w:t>21</w:t>
    </w:r>
    <w:r>
      <w:rPr>
        <w:noProof/>
      </w:rPr>
      <w:fldChar w:fldCharType="end"/>
    </w:r>
    <w:r>
      <w:t xml:space="preserve"> | </w:t>
    </w:r>
    <w:r w:rsidRPr="000C5718">
      <w:rPr>
        <w:color w:val="808080"/>
        <w:spacing w:val="60"/>
      </w:rPr>
      <w:t>Page</w:t>
    </w:r>
  </w:p>
  <w:p w:rsidR="00A1185D" w:rsidRPr="00A360D7" w:rsidRDefault="00A1185D" w:rsidP="00D71A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pPr>
      <w:pStyle w:val="Footer"/>
    </w:pPr>
    <w:r w:rsidRPr="00E81EF9">
      <w:rPr>
        <w:sz w:val="16"/>
      </w:rPr>
      <w:t>Document2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DD9" w:rsidRDefault="00276DD9">
      <w:pPr>
        <w:spacing w:after="0" w:line="240" w:lineRule="auto"/>
      </w:pPr>
      <w:r>
        <w:separator/>
      </w:r>
    </w:p>
  </w:footnote>
  <w:footnote w:type="continuationSeparator" w:id="0">
    <w:p w:rsidR="00276DD9" w:rsidRDefault="00276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Pr="005C5BF7" w:rsidRDefault="00A1185D" w:rsidP="005C5B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5D" w:rsidRDefault="00A11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3D12131"/>
    <w:multiLevelType w:val="hybridMultilevel"/>
    <w:tmpl w:val="8F701CF8"/>
    <w:lvl w:ilvl="0" w:tplc="9B06A138">
      <w:start w:val="1"/>
      <w:numFmt w:val="decimal"/>
      <w:lvlText w:val="%1"/>
      <w:lvlJc w:val="left"/>
      <w:pPr>
        <w:ind w:left="720" w:hanging="360"/>
      </w:pPr>
      <w:rPr>
        <w:rFonts w:hint="default"/>
        <w:b w:val="0"/>
      </w:rPr>
    </w:lvl>
    <w:lvl w:ilvl="1" w:tplc="EE0CDB5A">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877FD8"/>
    <w:multiLevelType w:val="hybridMultilevel"/>
    <w:tmpl w:val="A4363B3A"/>
    <w:lvl w:ilvl="0" w:tplc="EE0CDB5A">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8C94659"/>
    <w:multiLevelType w:val="multilevel"/>
    <w:tmpl w:val="0B90D16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b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C2E04E0"/>
    <w:multiLevelType w:val="hybridMultilevel"/>
    <w:tmpl w:val="2CC4D552"/>
    <w:lvl w:ilvl="0" w:tplc="D13C7320">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6" w15:restartNumberingAfterBreak="0">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A1B29B0"/>
    <w:multiLevelType w:val="multilevel"/>
    <w:tmpl w:val="36FCE56A"/>
    <w:lvl w:ilvl="0">
      <w:start w:val="1"/>
      <w:numFmt w:val="decimal"/>
      <w:lvlText w:val="%1"/>
      <w:lvlJc w:val="left"/>
      <w:pPr>
        <w:ind w:left="737" w:hanging="737"/>
      </w:pPr>
      <w:rPr>
        <w:rFonts w:ascii="Arial" w:hAnsi="Arial" w:hint="default"/>
        <w:b/>
        <w:i w:val="0"/>
        <w:sz w:val="22"/>
      </w:rPr>
    </w:lvl>
    <w:lvl w:ilvl="1">
      <w:start w:val="1"/>
      <w:numFmt w:val="decimal"/>
      <w:lvlText w:val="%1.%2"/>
      <w:lvlJc w:val="left"/>
      <w:pPr>
        <w:ind w:left="737" w:hanging="737"/>
      </w:pPr>
      <w:rPr>
        <w:rFonts w:ascii="Arial" w:hAnsi="Arial" w:hint="default"/>
        <w:b w:val="0"/>
        <w:i w:val="0"/>
        <w:sz w:val="22"/>
      </w:rPr>
    </w:lvl>
    <w:lvl w:ilvl="2">
      <w:start w:val="1"/>
      <w:numFmt w:val="lowerLetter"/>
      <w:lvlText w:val="%3."/>
      <w:lvlJc w:val="left"/>
      <w:pPr>
        <w:ind w:left="1474" w:hanging="737"/>
      </w:pPr>
      <w:rPr>
        <w:rFonts w:ascii="Arial" w:hAnsi="Arial" w:hint="default"/>
        <w:b w:val="0"/>
        <w:i w:val="0"/>
        <w:sz w:val="22"/>
      </w:rPr>
    </w:lvl>
    <w:lvl w:ilvl="3">
      <w:start w:val="1"/>
      <w:numFmt w:val="lowerRoman"/>
      <w:lvlText w:val="%4."/>
      <w:lvlJc w:val="left"/>
      <w:pPr>
        <w:ind w:left="2211" w:hanging="737"/>
      </w:pPr>
      <w:rPr>
        <w:rFonts w:ascii="Arial" w:hAnsi="Arial" w:hint="default"/>
        <w:b w:val="0"/>
        <w:i w:val="0"/>
        <w:sz w:val="22"/>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9" w15:restartNumberingAfterBreak="0">
    <w:nsid w:val="21365D64"/>
    <w:multiLevelType w:val="hybridMultilevel"/>
    <w:tmpl w:val="BA304AEA"/>
    <w:lvl w:ilvl="0" w:tplc="E4366C1C">
      <w:start w:val="1"/>
      <w:numFmt w:val="upp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9905DD"/>
    <w:multiLevelType w:val="hybridMultilevel"/>
    <w:tmpl w:val="68C6E1A2"/>
    <w:lvl w:ilvl="0" w:tplc="83E677BA">
      <w:start w:val="1"/>
      <w:numFmt w:val="lowerLetter"/>
      <w:lvlText w:val="(%1)"/>
      <w:lvlJc w:val="left"/>
      <w:pPr>
        <w:ind w:left="3240" w:hanging="360"/>
      </w:pPr>
      <w:rPr>
        <w:rFonts w:hint="default"/>
        <w:b w:val="0"/>
      </w:rPr>
    </w:lvl>
    <w:lvl w:ilvl="1" w:tplc="14090019" w:tentative="1">
      <w:start w:val="1"/>
      <w:numFmt w:val="lowerLetter"/>
      <w:lvlText w:val="%2."/>
      <w:lvlJc w:val="left"/>
      <w:pPr>
        <w:ind w:left="3960" w:hanging="360"/>
      </w:pPr>
    </w:lvl>
    <w:lvl w:ilvl="2" w:tplc="1409001B" w:tentative="1">
      <w:start w:val="1"/>
      <w:numFmt w:val="lowerRoman"/>
      <w:lvlText w:val="%3."/>
      <w:lvlJc w:val="right"/>
      <w:pPr>
        <w:ind w:left="4680" w:hanging="180"/>
      </w:pPr>
    </w:lvl>
    <w:lvl w:ilvl="3" w:tplc="1409000F" w:tentative="1">
      <w:start w:val="1"/>
      <w:numFmt w:val="decimal"/>
      <w:lvlText w:val="%4."/>
      <w:lvlJc w:val="left"/>
      <w:pPr>
        <w:ind w:left="5400" w:hanging="360"/>
      </w:pPr>
    </w:lvl>
    <w:lvl w:ilvl="4" w:tplc="14090019" w:tentative="1">
      <w:start w:val="1"/>
      <w:numFmt w:val="lowerLetter"/>
      <w:lvlText w:val="%5."/>
      <w:lvlJc w:val="left"/>
      <w:pPr>
        <w:ind w:left="6120" w:hanging="360"/>
      </w:pPr>
    </w:lvl>
    <w:lvl w:ilvl="5" w:tplc="1409001B" w:tentative="1">
      <w:start w:val="1"/>
      <w:numFmt w:val="lowerRoman"/>
      <w:lvlText w:val="%6."/>
      <w:lvlJc w:val="right"/>
      <w:pPr>
        <w:ind w:left="6840" w:hanging="180"/>
      </w:pPr>
    </w:lvl>
    <w:lvl w:ilvl="6" w:tplc="1409000F" w:tentative="1">
      <w:start w:val="1"/>
      <w:numFmt w:val="decimal"/>
      <w:lvlText w:val="%7."/>
      <w:lvlJc w:val="left"/>
      <w:pPr>
        <w:ind w:left="7560" w:hanging="360"/>
      </w:pPr>
    </w:lvl>
    <w:lvl w:ilvl="7" w:tplc="14090019" w:tentative="1">
      <w:start w:val="1"/>
      <w:numFmt w:val="lowerLetter"/>
      <w:lvlText w:val="%8."/>
      <w:lvlJc w:val="left"/>
      <w:pPr>
        <w:ind w:left="8280" w:hanging="360"/>
      </w:pPr>
    </w:lvl>
    <w:lvl w:ilvl="8" w:tplc="1409001B" w:tentative="1">
      <w:start w:val="1"/>
      <w:numFmt w:val="lowerRoman"/>
      <w:lvlText w:val="%9."/>
      <w:lvlJc w:val="right"/>
      <w:pPr>
        <w:ind w:left="9000" w:hanging="180"/>
      </w:pPr>
    </w:lvl>
  </w:abstractNum>
  <w:abstractNum w:abstractNumId="11" w15:restartNumberingAfterBreak="0">
    <w:nsid w:val="230941E0"/>
    <w:multiLevelType w:val="hybridMultilevel"/>
    <w:tmpl w:val="0308B79C"/>
    <w:lvl w:ilvl="0" w:tplc="1D661C5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23826FD6"/>
    <w:multiLevelType w:val="hybridMultilevel"/>
    <w:tmpl w:val="C4C8E5B6"/>
    <w:lvl w:ilvl="0" w:tplc="9FB205C6">
      <w:start w:val="1"/>
      <w:numFmt w:val="lowerRoman"/>
      <w:lvlText w:val="(%1)"/>
      <w:lvlJc w:val="left"/>
      <w:pPr>
        <w:ind w:left="1437" w:hanging="72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3" w15:restartNumberingAfterBreak="0">
    <w:nsid w:val="26803F01"/>
    <w:multiLevelType w:val="hybridMultilevel"/>
    <w:tmpl w:val="68C6E1A2"/>
    <w:lvl w:ilvl="0" w:tplc="83E677BA">
      <w:start w:val="1"/>
      <w:numFmt w:val="lowerLetter"/>
      <w:lvlText w:val="(%1)"/>
      <w:lvlJc w:val="left"/>
      <w:pPr>
        <w:ind w:left="3240" w:hanging="360"/>
      </w:pPr>
      <w:rPr>
        <w:rFonts w:hint="default"/>
        <w:b w:val="0"/>
      </w:rPr>
    </w:lvl>
    <w:lvl w:ilvl="1" w:tplc="14090019" w:tentative="1">
      <w:start w:val="1"/>
      <w:numFmt w:val="lowerLetter"/>
      <w:lvlText w:val="%2."/>
      <w:lvlJc w:val="left"/>
      <w:pPr>
        <w:ind w:left="3960" w:hanging="360"/>
      </w:pPr>
    </w:lvl>
    <w:lvl w:ilvl="2" w:tplc="1409001B" w:tentative="1">
      <w:start w:val="1"/>
      <w:numFmt w:val="lowerRoman"/>
      <w:lvlText w:val="%3."/>
      <w:lvlJc w:val="right"/>
      <w:pPr>
        <w:ind w:left="4680" w:hanging="180"/>
      </w:pPr>
    </w:lvl>
    <w:lvl w:ilvl="3" w:tplc="1409000F" w:tentative="1">
      <w:start w:val="1"/>
      <w:numFmt w:val="decimal"/>
      <w:lvlText w:val="%4."/>
      <w:lvlJc w:val="left"/>
      <w:pPr>
        <w:ind w:left="5400" w:hanging="360"/>
      </w:pPr>
    </w:lvl>
    <w:lvl w:ilvl="4" w:tplc="14090019" w:tentative="1">
      <w:start w:val="1"/>
      <w:numFmt w:val="lowerLetter"/>
      <w:lvlText w:val="%5."/>
      <w:lvlJc w:val="left"/>
      <w:pPr>
        <w:ind w:left="6120" w:hanging="360"/>
      </w:pPr>
    </w:lvl>
    <w:lvl w:ilvl="5" w:tplc="1409001B" w:tentative="1">
      <w:start w:val="1"/>
      <w:numFmt w:val="lowerRoman"/>
      <w:lvlText w:val="%6."/>
      <w:lvlJc w:val="right"/>
      <w:pPr>
        <w:ind w:left="6840" w:hanging="180"/>
      </w:pPr>
    </w:lvl>
    <w:lvl w:ilvl="6" w:tplc="1409000F" w:tentative="1">
      <w:start w:val="1"/>
      <w:numFmt w:val="decimal"/>
      <w:lvlText w:val="%7."/>
      <w:lvlJc w:val="left"/>
      <w:pPr>
        <w:ind w:left="7560" w:hanging="360"/>
      </w:pPr>
    </w:lvl>
    <w:lvl w:ilvl="7" w:tplc="14090019" w:tentative="1">
      <w:start w:val="1"/>
      <w:numFmt w:val="lowerLetter"/>
      <w:lvlText w:val="%8."/>
      <w:lvlJc w:val="left"/>
      <w:pPr>
        <w:ind w:left="8280" w:hanging="360"/>
      </w:pPr>
    </w:lvl>
    <w:lvl w:ilvl="8" w:tplc="1409001B" w:tentative="1">
      <w:start w:val="1"/>
      <w:numFmt w:val="lowerRoman"/>
      <w:lvlText w:val="%9."/>
      <w:lvlJc w:val="right"/>
      <w:pPr>
        <w:ind w:left="9000" w:hanging="180"/>
      </w:pPr>
    </w:lvl>
  </w:abstractNum>
  <w:abstractNum w:abstractNumId="14"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31DC0183"/>
    <w:multiLevelType w:val="hybridMultilevel"/>
    <w:tmpl w:val="7CC65C68"/>
    <w:lvl w:ilvl="0" w:tplc="0C09000B">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Times New Roman"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Times New Roman"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Times New Roman"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973F42"/>
    <w:multiLevelType w:val="multilevel"/>
    <w:tmpl w:val="6F7C6358"/>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140DBA"/>
    <w:multiLevelType w:val="multilevel"/>
    <w:tmpl w:val="93CA3328"/>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C56660F"/>
    <w:multiLevelType w:val="multilevel"/>
    <w:tmpl w:val="34121690"/>
    <w:lvl w:ilvl="0">
      <w:start w:val="1"/>
      <w:numFmt w:val="decimal"/>
      <w:lvlText w:val="%1"/>
      <w:lvlJc w:val="left"/>
      <w:pPr>
        <w:ind w:left="720" w:hanging="720"/>
      </w:pPr>
      <w:rPr>
        <w:rFonts w:ascii="Arial" w:eastAsia="Times New Roman" w:hAnsi="Arial" w:cs="Arial"/>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9" w15:restartNumberingAfterBreak="0">
    <w:nsid w:val="3CF374F8"/>
    <w:multiLevelType w:val="multilevel"/>
    <w:tmpl w:val="1BD62844"/>
    <w:lvl w:ilvl="0">
      <w:start w:val="1"/>
      <w:numFmt w:val="decimal"/>
      <w:lvlText w:val="%1"/>
      <w:lvlJc w:val="left"/>
      <w:pPr>
        <w:ind w:left="360" w:hanging="360"/>
      </w:pPr>
      <w:rPr>
        <w:rFonts w:ascii="Arial" w:hAnsi="Arial" w:cs="Arial" w:hint="default"/>
      </w:rPr>
    </w:lvl>
    <w:lvl w:ilvl="1">
      <w:start w:val="7"/>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0" w15:restartNumberingAfterBreak="0">
    <w:nsid w:val="44495636"/>
    <w:multiLevelType w:val="hybridMultilevel"/>
    <w:tmpl w:val="84AC2B5E"/>
    <w:lvl w:ilvl="0" w:tplc="6CA0CBF2">
      <w:start w:val="3"/>
      <w:numFmt w:val="bullet"/>
      <w:lvlText w:val="-"/>
      <w:lvlJc w:val="left"/>
      <w:pPr>
        <w:ind w:left="1800" w:hanging="360"/>
      </w:pPr>
      <w:rPr>
        <w:rFonts w:ascii="Arial" w:eastAsia="Calibri" w:hAnsi="Arial" w:cs="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1" w15:restartNumberingAfterBreak="0">
    <w:nsid w:val="482A2FB2"/>
    <w:multiLevelType w:val="multilevel"/>
    <w:tmpl w:val="37922694"/>
    <w:lvl w:ilvl="0">
      <w:start w:val="5"/>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51A854D9"/>
    <w:multiLevelType w:val="hybridMultilevel"/>
    <w:tmpl w:val="F132C140"/>
    <w:lvl w:ilvl="0" w:tplc="F4645DB2">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53425D24"/>
    <w:multiLevelType w:val="multilevel"/>
    <w:tmpl w:val="0B90D16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b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6885CB9"/>
    <w:multiLevelType w:val="hybridMultilevel"/>
    <w:tmpl w:val="A4363B3A"/>
    <w:lvl w:ilvl="0" w:tplc="EE0CDB5A">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E604E"/>
    <w:multiLevelType w:val="multilevel"/>
    <w:tmpl w:val="D0BC423E"/>
    <w:lvl w:ilvl="0">
      <w:start w:val="6"/>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5EC16C95"/>
    <w:multiLevelType w:val="multilevel"/>
    <w:tmpl w:val="ACD021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710AFE"/>
    <w:multiLevelType w:val="multilevel"/>
    <w:tmpl w:val="B628CDD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051D6C"/>
    <w:multiLevelType w:val="hybridMultilevel"/>
    <w:tmpl w:val="DE38885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1" w15:restartNumberingAfterBreak="0">
    <w:nsid w:val="70245819"/>
    <w:multiLevelType w:val="hybridMultilevel"/>
    <w:tmpl w:val="DEEA32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9"/>
  </w:num>
  <w:num w:numId="12">
    <w:abstractNumId w:val="11"/>
  </w:num>
  <w:num w:numId="13">
    <w:abstractNumId w:val="22"/>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24"/>
  </w:num>
  <w:num w:numId="19">
    <w:abstractNumId w:val="5"/>
  </w:num>
  <w:num w:numId="20">
    <w:abstractNumId w:val="10"/>
  </w:num>
  <w:num w:numId="21">
    <w:abstractNumId w:val="13"/>
  </w:num>
  <w:num w:numId="22">
    <w:abstractNumId w:val="31"/>
  </w:num>
  <w:num w:numId="23">
    <w:abstractNumId w:val="15"/>
  </w:num>
  <w:num w:numId="24">
    <w:abstractNumId w:val="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7"/>
  </w:num>
  <w:num w:numId="31">
    <w:abstractNumId w:val="2"/>
  </w:num>
  <w:num w:numId="32">
    <w:abstractNumId w:val="30"/>
  </w:num>
  <w:num w:numId="33">
    <w:abstractNumId w:val="28"/>
  </w:num>
  <w:num w:numId="34">
    <w:abstractNumId w:val="20"/>
  </w:num>
  <w:num w:numId="35">
    <w:abstractNumId w:val="27"/>
  </w:num>
  <w:num w:numId="36">
    <w:abstractNumId w:val="29"/>
  </w:num>
  <w:num w:numId="37">
    <w:abstractNumId w:val="23"/>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BB"/>
    <w:rsid w:val="00000B4C"/>
    <w:rsid w:val="00004EFA"/>
    <w:rsid w:val="00007360"/>
    <w:rsid w:val="000106D0"/>
    <w:rsid w:val="00026B89"/>
    <w:rsid w:val="00034F23"/>
    <w:rsid w:val="000374BE"/>
    <w:rsid w:val="00037CB0"/>
    <w:rsid w:val="00044C86"/>
    <w:rsid w:val="00072EBA"/>
    <w:rsid w:val="00082732"/>
    <w:rsid w:val="00092EE5"/>
    <w:rsid w:val="000A24C7"/>
    <w:rsid w:val="000D384A"/>
    <w:rsid w:val="000E22C2"/>
    <w:rsid w:val="000E3BB9"/>
    <w:rsid w:val="000F5842"/>
    <w:rsid w:val="00106AED"/>
    <w:rsid w:val="00131385"/>
    <w:rsid w:val="001338AA"/>
    <w:rsid w:val="0014139B"/>
    <w:rsid w:val="001439E0"/>
    <w:rsid w:val="00155119"/>
    <w:rsid w:val="00155EF1"/>
    <w:rsid w:val="0015759C"/>
    <w:rsid w:val="00165B71"/>
    <w:rsid w:val="001811F7"/>
    <w:rsid w:val="00193D09"/>
    <w:rsid w:val="00194802"/>
    <w:rsid w:val="001A6B79"/>
    <w:rsid w:val="001C6661"/>
    <w:rsid w:val="001D34C3"/>
    <w:rsid w:val="001D3744"/>
    <w:rsid w:val="001E1829"/>
    <w:rsid w:val="001E21ED"/>
    <w:rsid w:val="001F4276"/>
    <w:rsid w:val="00203807"/>
    <w:rsid w:val="0021293C"/>
    <w:rsid w:val="00213DA6"/>
    <w:rsid w:val="00216302"/>
    <w:rsid w:val="00216982"/>
    <w:rsid w:val="00224E54"/>
    <w:rsid w:val="00233AF1"/>
    <w:rsid w:val="00241A9E"/>
    <w:rsid w:val="00245A2B"/>
    <w:rsid w:val="00260E1F"/>
    <w:rsid w:val="00276DD9"/>
    <w:rsid w:val="0028131B"/>
    <w:rsid w:val="00282302"/>
    <w:rsid w:val="002855F7"/>
    <w:rsid w:val="002C13D8"/>
    <w:rsid w:val="002C1A21"/>
    <w:rsid w:val="002D1C62"/>
    <w:rsid w:val="002D4589"/>
    <w:rsid w:val="002D4950"/>
    <w:rsid w:val="002D4F88"/>
    <w:rsid w:val="002D75EE"/>
    <w:rsid w:val="002F651D"/>
    <w:rsid w:val="00337C43"/>
    <w:rsid w:val="0034416A"/>
    <w:rsid w:val="00354EC2"/>
    <w:rsid w:val="00362F7F"/>
    <w:rsid w:val="00387B01"/>
    <w:rsid w:val="003A18AC"/>
    <w:rsid w:val="003B3B6F"/>
    <w:rsid w:val="003D14EA"/>
    <w:rsid w:val="003E232F"/>
    <w:rsid w:val="00405870"/>
    <w:rsid w:val="004227ED"/>
    <w:rsid w:val="00423362"/>
    <w:rsid w:val="004259FC"/>
    <w:rsid w:val="00436ADD"/>
    <w:rsid w:val="00445BCE"/>
    <w:rsid w:val="00451A80"/>
    <w:rsid w:val="00454F25"/>
    <w:rsid w:val="004835F8"/>
    <w:rsid w:val="004D36D4"/>
    <w:rsid w:val="004D5C8A"/>
    <w:rsid w:val="004D660D"/>
    <w:rsid w:val="004D6D5D"/>
    <w:rsid w:val="004D7801"/>
    <w:rsid w:val="004E4B9F"/>
    <w:rsid w:val="004F3892"/>
    <w:rsid w:val="00520D80"/>
    <w:rsid w:val="00525A12"/>
    <w:rsid w:val="00533E65"/>
    <w:rsid w:val="00557082"/>
    <w:rsid w:val="005655FB"/>
    <w:rsid w:val="00572AA9"/>
    <w:rsid w:val="00583604"/>
    <w:rsid w:val="00591F14"/>
    <w:rsid w:val="0059290A"/>
    <w:rsid w:val="0059443D"/>
    <w:rsid w:val="00595906"/>
    <w:rsid w:val="005A307A"/>
    <w:rsid w:val="005A3322"/>
    <w:rsid w:val="005B11F9"/>
    <w:rsid w:val="005B7899"/>
    <w:rsid w:val="005C5BF7"/>
    <w:rsid w:val="005E21B1"/>
    <w:rsid w:val="005E32B1"/>
    <w:rsid w:val="005E334A"/>
    <w:rsid w:val="005E6776"/>
    <w:rsid w:val="00621990"/>
    <w:rsid w:val="00631D73"/>
    <w:rsid w:val="00636701"/>
    <w:rsid w:val="006409A3"/>
    <w:rsid w:val="006623E3"/>
    <w:rsid w:val="00676281"/>
    <w:rsid w:val="00676CD8"/>
    <w:rsid w:val="00693A74"/>
    <w:rsid w:val="006B5C3F"/>
    <w:rsid w:val="006B6049"/>
    <w:rsid w:val="006D0716"/>
    <w:rsid w:val="00713C3B"/>
    <w:rsid w:val="007263D9"/>
    <w:rsid w:val="00736143"/>
    <w:rsid w:val="00737115"/>
    <w:rsid w:val="00746B9C"/>
    <w:rsid w:val="00780F24"/>
    <w:rsid w:val="00795F19"/>
    <w:rsid w:val="00796B67"/>
    <w:rsid w:val="007A5385"/>
    <w:rsid w:val="007B03E0"/>
    <w:rsid w:val="007B201A"/>
    <w:rsid w:val="007C5F2B"/>
    <w:rsid w:val="0080498F"/>
    <w:rsid w:val="00811E50"/>
    <w:rsid w:val="00812AC4"/>
    <w:rsid w:val="008154B5"/>
    <w:rsid w:val="0083121E"/>
    <w:rsid w:val="00860654"/>
    <w:rsid w:val="00865359"/>
    <w:rsid w:val="0086554B"/>
    <w:rsid w:val="0087625A"/>
    <w:rsid w:val="0087726E"/>
    <w:rsid w:val="008779AF"/>
    <w:rsid w:val="008B1C6D"/>
    <w:rsid w:val="008B3D59"/>
    <w:rsid w:val="008B67BB"/>
    <w:rsid w:val="008C27D0"/>
    <w:rsid w:val="008D3C6E"/>
    <w:rsid w:val="008E341F"/>
    <w:rsid w:val="008F78C4"/>
    <w:rsid w:val="00903467"/>
    <w:rsid w:val="00906EAA"/>
    <w:rsid w:val="0091456F"/>
    <w:rsid w:val="00922D6C"/>
    <w:rsid w:val="0093297D"/>
    <w:rsid w:val="00954E38"/>
    <w:rsid w:val="00960574"/>
    <w:rsid w:val="00970DD2"/>
    <w:rsid w:val="00971B18"/>
    <w:rsid w:val="0099241C"/>
    <w:rsid w:val="00992D1C"/>
    <w:rsid w:val="009B1D6D"/>
    <w:rsid w:val="009C637C"/>
    <w:rsid w:val="009D15F1"/>
    <w:rsid w:val="009D2B10"/>
    <w:rsid w:val="009E620F"/>
    <w:rsid w:val="009E774B"/>
    <w:rsid w:val="009E7A39"/>
    <w:rsid w:val="009F6EAF"/>
    <w:rsid w:val="00A039A4"/>
    <w:rsid w:val="00A1185D"/>
    <w:rsid w:val="00A1275F"/>
    <w:rsid w:val="00A170E4"/>
    <w:rsid w:val="00A209D3"/>
    <w:rsid w:val="00A31878"/>
    <w:rsid w:val="00A35B4E"/>
    <w:rsid w:val="00A512FE"/>
    <w:rsid w:val="00A615C8"/>
    <w:rsid w:val="00A6244E"/>
    <w:rsid w:val="00A93F46"/>
    <w:rsid w:val="00AA3F37"/>
    <w:rsid w:val="00AA4550"/>
    <w:rsid w:val="00AC5295"/>
    <w:rsid w:val="00AD1DE6"/>
    <w:rsid w:val="00AD4639"/>
    <w:rsid w:val="00AE18D0"/>
    <w:rsid w:val="00AE1F49"/>
    <w:rsid w:val="00B056CD"/>
    <w:rsid w:val="00B11CCD"/>
    <w:rsid w:val="00B16098"/>
    <w:rsid w:val="00B312B5"/>
    <w:rsid w:val="00B37F59"/>
    <w:rsid w:val="00B41635"/>
    <w:rsid w:val="00B4372C"/>
    <w:rsid w:val="00B5357A"/>
    <w:rsid w:val="00B66263"/>
    <w:rsid w:val="00B80E36"/>
    <w:rsid w:val="00BA4F1B"/>
    <w:rsid w:val="00BD3BB2"/>
    <w:rsid w:val="00BE78FB"/>
    <w:rsid w:val="00C165F0"/>
    <w:rsid w:val="00C47B44"/>
    <w:rsid w:val="00C5215F"/>
    <w:rsid w:val="00C70EE3"/>
    <w:rsid w:val="00C7585C"/>
    <w:rsid w:val="00CB4A28"/>
    <w:rsid w:val="00CB543E"/>
    <w:rsid w:val="00CB5D1D"/>
    <w:rsid w:val="00CB6284"/>
    <w:rsid w:val="00CC29C2"/>
    <w:rsid w:val="00CC7BD6"/>
    <w:rsid w:val="00CD22C0"/>
    <w:rsid w:val="00CE28EA"/>
    <w:rsid w:val="00CF5189"/>
    <w:rsid w:val="00CF5D42"/>
    <w:rsid w:val="00D149AA"/>
    <w:rsid w:val="00D14A60"/>
    <w:rsid w:val="00D34EA0"/>
    <w:rsid w:val="00D37114"/>
    <w:rsid w:val="00D378FC"/>
    <w:rsid w:val="00D43CBF"/>
    <w:rsid w:val="00D71188"/>
    <w:rsid w:val="00D71A22"/>
    <w:rsid w:val="00D7789E"/>
    <w:rsid w:val="00DC4C87"/>
    <w:rsid w:val="00DD3896"/>
    <w:rsid w:val="00DD3E46"/>
    <w:rsid w:val="00DD7526"/>
    <w:rsid w:val="00DF2578"/>
    <w:rsid w:val="00DF2DE8"/>
    <w:rsid w:val="00E01E70"/>
    <w:rsid w:val="00E13C27"/>
    <w:rsid w:val="00E277A6"/>
    <w:rsid w:val="00E277BA"/>
    <w:rsid w:val="00E45AA2"/>
    <w:rsid w:val="00E671C3"/>
    <w:rsid w:val="00E8035C"/>
    <w:rsid w:val="00E82BAB"/>
    <w:rsid w:val="00E90142"/>
    <w:rsid w:val="00E91091"/>
    <w:rsid w:val="00E9269E"/>
    <w:rsid w:val="00E96748"/>
    <w:rsid w:val="00EA4E05"/>
    <w:rsid w:val="00EB18D0"/>
    <w:rsid w:val="00EE31E4"/>
    <w:rsid w:val="00EE330F"/>
    <w:rsid w:val="00EE360F"/>
    <w:rsid w:val="00EF75E2"/>
    <w:rsid w:val="00F04B69"/>
    <w:rsid w:val="00F06EE8"/>
    <w:rsid w:val="00F07349"/>
    <w:rsid w:val="00F22AE5"/>
    <w:rsid w:val="00F33D95"/>
    <w:rsid w:val="00F360CA"/>
    <w:rsid w:val="00F51783"/>
    <w:rsid w:val="00F5198F"/>
    <w:rsid w:val="00F5289B"/>
    <w:rsid w:val="00F535C6"/>
    <w:rsid w:val="00F538D9"/>
    <w:rsid w:val="00F54CD9"/>
    <w:rsid w:val="00F7075A"/>
    <w:rsid w:val="00F87491"/>
    <w:rsid w:val="00F91EBB"/>
    <w:rsid w:val="00F92A53"/>
    <w:rsid w:val="00F9466E"/>
    <w:rsid w:val="00FB6154"/>
    <w:rsid w:val="00FD29BC"/>
    <w:rsid w:val="00FD44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A127A"/>
  <w15:docId w15:val="{DA73B58C-5F78-44A8-9D82-D7194106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7BB"/>
    <w:rPr>
      <w:rFonts w:ascii="Calibri" w:eastAsia="Calibri" w:hAnsi="Calibri" w:cs="Times New Roman"/>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character" w:styleId="CommentReference">
    <w:name w:val="annotation reference"/>
    <w:semiHidden/>
    <w:unhideWhenUsed/>
    <w:rsid w:val="008B67BB"/>
    <w:rPr>
      <w:sz w:val="16"/>
      <w:szCs w:val="16"/>
    </w:rPr>
  </w:style>
  <w:style w:type="paragraph" w:styleId="CommentText">
    <w:name w:val="annotation text"/>
    <w:basedOn w:val="Normal"/>
    <w:link w:val="CommentTextChar"/>
    <w:unhideWhenUsed/>
    <w:rsid w:val="008B67BB"/>
    <w:rPr>
      <w:sz w:val="20"/>
      <w:szCs w:val="20"/>
    </w:rPr>
  </w:style>
  <w:style w:type="character" w:customStyle="1" w:styleId="CommentTextChar">
    <w:name w:val="Comment Text Char"/>
    <w:basedOn w:val="DefaultParagraphFont"/>
    <w:link w:val="CommentText"/>
    <w:rsid w:val="008B67BB"/>
    <w:rPr>
      <w:rFonts w:ascii="Calibri" w:eastAsia="Calibri" w:hAnsi="Calibri" w:cs="Times New Roman"/>
      <w:sz w:val="20"/>
      <w:szCs w:val="20"/>
    </w:rPr>
  </w:style>
  <w:style w:type="paragraph" w:styleId="BalloonText">
    <w:name w:val="Balloon Text"/>
    <w:basedOn w:val="Normal"/>
    <w:link w:val="BalloonTextChar"/>
    <w:uiPriority w:val="99"/>
    <w:semiHidden/>
    <w:rsid w:val="008B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7BB"/>
    <w:rPr>
      <w:rFonts w:ascii="Tahoma" w:eastAsia="Calibri" w:hAnsi="Tahoma" w:cs="Tahoma"/>
      <w:sz w:val="16"/>
      <w:szCs w:val="16"/>
    </w:rPr>
  </w:style>
  <w:style w:type="paragraph" w:styleId="Header">
    <w:name w:val="header"/>
    <w:basedOn w:val="Normal"/>
    <w:link w:val="HeaderChar"/>
    <w:uiPriority w:val="99"/>
    <w:unhideWhenUsed/>
    <w:rsid w:val="008B67BB"/>
    <w:pPr>
      <w:tabs>
        <w:tab w:val="center" w:pos="4513"/>
        <w:tab w:val="right" w:pos="9026"/>
      </w:tabs>
    </w:pPr>
  </w:style>
  <w:style w:type="character" w:customStyle="1" w:styleId="HeaderChar">
    <w:name w:val="Header Char"/>
    <w:basedOn w:val="DefaultParagraphFont"/>
    <w:link w:val="Header"/>
    <w:uiPriority w:val="99"/>
    <w:rsid w:val="008B67BB"/>
    <w:rPr>
      <w:rFonts w:ascii="Calibri" w:eastAsia="Calibri" w:hAnsi="Calibri" w:cs="Times New Roman"/>
    </w:rPr>
  </w:style>
  <w:style w:type="paragraph" w:styleId="Footer">
    <w:name w:val="footer"/>
    <w:basedOn w:val="Normal"/>
    <w:link w:val="FooterChar"/>
    <w:uiPriority w:val="99"/>
    <w:unhideWhenUsed/>
    <w:rsid w:val="008B67BB"/>
    <w:pPr>
      <w:tabs>
        <w:tab w:val="center" w:pos="4513"/>
        <w:tab w:val="right" w:pos="9026"/>
      </w:tabs>
    </w:pPr>
  </w:style>
  <w:style w:type="character" w:customStyle="1" w:styleId="FooterChar">
    <w:name w:val="Footer Char"/>
    <w:basedOn w:val="DefaultParagraphFont"/>
    <w:link w:val="Footer"/>
    <w:uiPriority w:val="99"/>
    <w:rsid w:val="008B67BB"/>
    <w:rPr>
      <w:rFonts w:ascii="Calibri" w:eastAsia="Calibri" w:hAnsi="Calibri" w:cs="Times New Roman"/>
    </w:rPr>
  </w:style>
  <w:style w:type="character" w:styleId="Strong">
    <w:name w:val="Strong"/>
    <w:uiPriority w:val="22"/>
    <w:qFormat/>
    <w:rsid w:val="008B67BB"/>
    <w:rPr>
      <w:b/>
      <w:bCs/>
    </w:rPr>
  </w:style>
  <w:style w:type="paragraph" w:customStyle="1" w:styleId="RomanNumerals">
    <w:name w:val="Roman Numerals"/>
    <w:basedOn w:val="Normal"/>
    <w:rsid w:val="008B67BB"/>
    <w:pPr>
      <w:spacing w:before="120" w:after="120" w:line="240" w:lineRule="auto"/>
      <w:ind w:left="1134" w:hanging="567"/>
      <w:jc w:val="both"/>
    </w:pPr>
    <w:rPr>
      <w:rFonts w:ascii="Arial" w:eastAsia="Times New Roman" w:hAnsi="Arial" w:cs="Arial"/>
      <w:lang w:val="en-GB"/>
    </w:rPr>
  </w:style>
  <w:style w:type="paragraph" w:customStyle="1" w:styleId="PointNumberedParagraph">
    <w:name w:val="Point Numbered Paragraph"/>
    <w:basedOn w:val="Normal"/>
    <w:link w:val="PointNumberedParagraphChar"/>
    <w:rsid w:val="008B67BB"/>
    <w:pPr>
      <w:spacing w:before="240" w:after="240" w:line="240" w:lineRule="auto"/>
      <w:ind w:left="567" w:hanging="567"/>
      <w:jc w:val="both"/>
    </w:pPr>
    <w:rPr>
      <w:rFonts w:ascii="Arial" w:eastAsia="Times New Roman" w:hAnsi="Arial" w:cs="Arial"/>
      <w:szCs w:val="24"/>
      <w:lang w:val="en-GB"/>
    </w:rPr>
  </w:style>
  <w:style w:type="character" w:customStyle="1" w:styleId="PointNumberedParagraphChar">
    <w:name w:val="Point Numbered Paragraph Char"/>
    <w:link w:val="PointNumberedParagraph"/>
    <w:locked/>
    <w:rsid w:val="008B67BB"/>
    <w:rPr>
      <w:rFonts w:ascii="Arial" w:eastAsia="Times New Roman" w:hAnsi="Arial" w:cs="Arial"/>
      <w:szCs w:val="24"/>
      <w:lang w:val="en-GB"/>
    </w:rPr>
  </w:style>
  <w:style w:type="paragraph" w:styleId="BodyText2">
    <w:name w:val="Body Text 2"/>
    <w:basedOn w:val="Normal"/>
    <w:link w:val="BodyText2Char"/>
    <w:semiHidden/>
    <w:unhideWhenUsed/>
    <w:rsid w:val="00AC5295"/>
    <w:pPr>
      <w:spacing w:after="120" w:line="480" w:lineRule="auto"/>
    </w:pPr>
    <w:rPr>
      <w:rFonts w:ascii="Times New Roman" w:eastAsia="Times New Roman" w:hAnsi="Times New Roman"/>
      <w:szCs w:val="20"/>
      <w:lang w:val="en-GB"/>
    </w:rPr>
  </w:style>
  <w:style w:type="character" w:customStyle="1" w:styleId="BodyText2Char">
    <w:name w:val="Body Text 2 Char"/>
    <w:basedOn w:val="DefaultParagraphFont"/>
    <w:link w:val="BodyText2"/>
    <w:semiHidden/>
    <w:rsid w:val="00AC5295"/>
    <w:rPr>
      <w:rFonts w:ascii="Times New Roman" w:eastAsia="Times New Roman" w:hAnsi="Times New Roman" w:cs="Times New Roman"/>
      <w:szCs w:val="20"/>
      <w:lang w:val="en-GB"/>
    </w:rPr>
  </w:style>
  <w:style w:type="paragraph" w:customStyle="1" w:styleId="Default">
    <w:name w:val="Default"/>
    <w:rsid w:val="00AC5295"/>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CommentSubject">
    <w:name w:val="annotation subject"/>
    <w:basedOn w:val="CommentText"/>
    <w:next w:val="CommentText"/>
    <w:link w:val="CommentSubjectChar"/>
    <w:uiPriority w:val="99"/>
    <w:semiHidden/>
    <w:rsid w:val="005A307A"/>
    <w:pPr>
      <w:spacing w:line="240" w:lineRule="auto"/>
    </w:pPr>
    <w:rPr>
      <w:b/>
      <w:bCs/>
    </w:rPr>
  </w:style>
  <w:style w:type="character" w:customStyle="1" w:styleId="CommentSubjectChar">
    <w:name w:val="Comment Subject Char"/>
    <w:basedOn w:val="CommentTextChar"/>
    <w:link w:val="CommentSubject"/>
    <w:uiPriority w:val="99"/>
    <w:semiHidden/>
    <w:rsid w:val="005A307A"/>
    <w:rPr>
      <w:rFonts w:ascii="Calibri" w:eastAsia="Calibri" w:hAnsi="Calibri" w:cs="Times New Roman"/>
      <w:b/>
      <w:bCs/>
      <w:sz w:val="20"/>
      <w:szCs w:val="20"/>
    </w:rPr>
  </w:style>
  <w:style w:type="character" w:styleId="Hyperlink">
    <w:name w:val="Hyperlink"/>
    <w:basedOn w:val="DefaultParagraphFont"/>
    <w:uiPriority w:val="99"/>
    <w:semiHidden/>
    <w:rsid w:val="00E13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4295">
      <w:bodyDiv w:val="1"/>
      <w:marLeft w:val="0"/>
      <w:marRight w:val="0"/>
      <w:marTop w:val="0"/>
      <w:marBottom w:val="0"/>
      <w:divBdr>
        <w:top w:val="none" w:sz="0" w:space="0" w:color="auto"/>
        <w:left w:val="none" w:sz="0" w:space="0" w:color="auto"/>
        <w:bottom w:val="none" w:sz="0" w:space="0" w:color="auto"/>
        <w:right w:val="none" w:sz="0" w:space="0" w:color="auto"/>
      </w:divBdr>
    </w:div>
    <w:div w:id="346520006">
      <w:bodyDiv w:val="1"/>
      <w:marLeft w:val="0"/>
      <w:marRight w:val="0"/>
      <w:marTop w:val="0"/>
      <w:marBottom w:val="0"/>
      <w:divBdr>
        <w:top w:val="none" w:sz="0" w:space="0" w:color="auto"/>
        <w:left w:val="none" w:sz="0" w:space="0" w:color="auto"/>
        <w:bottom w:val="none" w:sz="0" w:space="0" w:color="auto"/>
        <w:right w:val="none" w:sz="0" w:space="0" w:color="auto"/>
      </w:divBdr>
    </w:div>
    <w:div w:id="1284582549">
      <w:bodyDiv w:val="1"/>
      <w:marLeft w:val="0"/>
      <w:marRight w:val="0"/>
      <w:marTop w:val="0"/>
      <w:marBottom w:val="0"/>
      <w:divBdr>
        <w:top w:val="none" w:sz="0" w:space="0" w:color="auto"/>
        <w:left w:val="none" w:sz="0" w:space="0" w:color="auto"/>
        <w:bottom w:val="none" w:sz="0" w:space="0" w:color="auto"/>
        <w:right w:val="none" w:sz="0" w:space="0" w:color="auto"/>
      </w:divBdr>
    </w:div>
    <w:div w:id="1386878232">
      <w:bodyDiv w:val="1"/>
      <w:marLeft w:val="0"/>
      <w:marRight w:val="0"/>
      <w:marTop w:val="0"/>
      <w:marBottom w:val="0"/>
      <w:divBdr>
        <w:top w:val="none" w:sz="0" w:space="0" w:color="auto"/>
        <w:left w:val="none" w:sz="0" w:space="0" w:color="auto"/>
        <w:bottom w:val="none" w:sz="0" w:space="0" w:color="auto"/>
        <w:right w:val="none" w:sz="0" w:space="0" w:color="auto"/>
      </w:divBdr>
    </w:div>
    <w:div w:id="1625891322">
      <w:bodyDiv w:val="1"/>
      <w:marLeft w:val="0"/>
      <w:marRight w:val="0"/>
      <w:marTop w:val="0"/>
      <w:marBottom w:val="0"/>
      <w:divBdr>
        <w:top w:val="none" w:sz="0" w:space="0" w:color="auto"/>
        <w:left w:val="none" w:sz="0" w:space="0" w:color="auto"/>
        <w:bottom w:val="none" w:sz="0" w:space="0" w:color="auto"/>
        <w:right w:val="none" w:sz="0" w:space="0" w:color="auto"/>
      </w:divBdr>
    </w:div>
    <w:div w:id="17879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siness.govt.nz/procurement/pdf-library/functional-leadership/contracting-with-ngos/framework-terms-and-conditions-476-kb-pdf" TargetMode="External"/><Relationship Id="rId23"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usiness.govt.nz/procurement/pdf-library/functional-leadership/contracting-with-ngos/framework-terms-and-conditions-476-kb-pdf" TargetMode="External"/><Relationship Id="rId22" Type="http://schemas.openxmlformats.org/officeDocument/2006/relationships/hyperlink" Target="http://www.familyservie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22C8-78AD-4C68-8770-9A14921C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4376</Words>
  <Characters>24948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Outcome agreement for Income Related Rent Subsidy Tenancy (IRRS)</vt:lpstr>
    </vt:vector>
  </TitlesOfParts>
  <Company>Ministry of Social Development</Company>
  <LinksUpToDate>false</LinksUpToDate>
  <CharactersWithSpaces>29266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agreement for Income Related Rent Subsidy Tenancy (IRRS)</dc:title>
  <dc:creator>Shelley Marshall</dc:creator>
  <cp:keywords>Outcome agreement for Income Related Rent Subsidy Tenancy IRRS</cp:keywords>
  <cp:lastModifiedBy>Andrew Mcnabb</cp:lastModifiedBy>
  <cp:revision>3</cp:revision>
  <cp:lastPrinted>2014-03-10T20:04:00Z</cp:lastPrinted>
  <dcterms:created xsi:type="dcterms:W3CDTF">2021-01-10T23:10:00Z</dcterms:created>
  <dcterms:modified xsi:type="dcterms:W3CDTF">2021-01-10T23:16:00Z</dcterms:modified>
</cp:coreProperties>
</file>